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964" w:tblpY="571"/>
        <w:tblW w:w="0" w:type="auto"/>
        <w:tblLook w:val="04A0" w:firstRow="1" w:lastRow="0" w:firstColumn="1" w:lastColumn="0" w:noHBand="0" w:noVBand="1"/>
      </w:tblPr>
      <w:tblGrid>
        <w:gridCol w:w="5248"/>
        <w:gridCol w:w="4532"/>
      </w:tblGrid>
      <w:tr w:rsidR="0017731D" w:rsidRPr="00335B28" w:rsidTr="00841D5B">
        <w:trPr>
          <w:trHeight w:val="1314"/>
        </w:trPr>
        <w:tc>
          <w:tcPr>
            <w:tcW w:w="5248" w:type="dxa"/>
          </w:tcPr>
          <w:p w:rsidR="0017731D" w:rsidRDefault="0017731D" w:rsidP="00841D5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731D" w:rsidRDefault="0017731D" w:rsidP="00841D5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731D" w:rsidRDefault="0017731D" w:rsidP="00841D5B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7731D" w:rsidRPr="00335B28" w:rsidRDefault="0017731D" w:rsidP="00841D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35B2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           </w:t>
            </w:r>
          </w:p>
        </w:tc>
        <w:tc>
          <w:tcPr>
            <w:tcW w:w="4532" w:type="dxa"/>
          </w:tcPr>
          <w:p w:rsidR="0017731D" w:rsidRDefault="0017731D" w:rsidP="00841D5B">
            <w:pPr>
              <w:ind w:left="-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</w:p>
          <w:p w:rsidR="0017731D" w:rsidRPr="00335B28" w:rsidRDefault="0017731D" w:rsidP="00841D5B">
            <w:pPr>
              <w:ind w:left="-2" w:firstLine="1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35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841D5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E5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731D" w:rsidRPr="00335B28" w:rsidRDefault="0017731D" w:rsidP="0017731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C9798" wp14:editId="682095D5">
                <wp:simplePos x="0" y="0"/>
                <wp:positionH relativeFrom="column">
                  <wp:posOffset>5775325</wp:posOffset>
                </wp:positionH>
                <wp:positionV relativeFrom="paragraph">
                  <wp:posOffset>-2467610</wp:posOffset>
                </wp:positionV>
                <wp:extent cx="247650" cy="412750"/>
                <wp:effectExtent l="6985" t="7620" r="12065" b="825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12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E48A18" id="Овал 1" o:spid="_x0000_s1026" style="position:absolute;margin-left:454.75pt;margin-top:-194.3pt;width:19.5pt;height: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" strokecolor="white"/>
            </w:pict>
          </mc:Fallback>
        </mc:AlternateContent>
      </w:r>
    </w:p>
    <w:p w:rsidR="0017731D" w:rsidRPr="00335B28" w:rsidRDefault="0017731D" w:rsidP="0017731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7731D" w:rsidRPr="00335B28" w:rsidRDefault="0017731D" w:rsidP="0017731D">
      <w:pPr>
        <w:ind w:left="-42" w:firstLine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B28">
        <w:rPr>
          <w:rFonts w:ascii="Times New Roman" w:eastAsia="Calibri" w:hAnsi="Times New Roman" w:cs="Times New Roman"/>
          <w:sz w:val="28"/>
          <w:szCs w:val="28"/>
        </w:rPr>
        <w:t>ПОКАЗАТЕЛИ</w:t>
      </w:r>
    </w:p>
    <w:p w:rsidR="0017731D" w:rsidRPr="00335B28" w:rsidRDefault="0017731D" w:rsidP="0017731D">
      <w:pPr>
        <w:ind w:left="-42" w:firstLine="1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5B28">
        <w:rPr>
          <w:rFonts w:ascii="Times New Roman" w:eastAsia="Calibri" w:hAnsi="Times New Roman" w:cs="Times New Roman"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335B28">
        <w:rPr>
          <w:rFonts w:ascii="Times New Roman" w:eastAsia="Calibri" w:hAnsi="Times New Roman" w:cs="Times New Roman"/>
          <w:sz w:val="28"/>
          <w:szCs w:val="28"/>
        </w:rPr>
        <w:t>комплаенса</w:t>
      </w:r>
      <w:proofErr w:type="spellEnd"/>
      <w:r w:rsidRPr="00335B28">
        <w:rPr>
          <w:rFonts w:ascii="Times New Roman" w:eastAsia="Calibri" w:hAnsi="Times New Roman" w:cs="Times New Roman"/>
          <w:sz w:val="28"/>
          <w:szCs w:val="28"/>
        </w:rPr>
        <w:t xml:space="preserve"> в комитете</w:t>
      </w:r>
    </w:p>
    <w:p w:rsidR="0017731D" w:rsidRPr="00335B28" w:rsidRDefault="0017731D" w:rsidP="0017731D">
      <w:pPr>
        <w:ind w:left="-42" w:firstLine="10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W w:w="15635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30"/>
        <w:gridCol w:w="1429"/>
        <w:gridCol w:w="1443"/>
        <w:gridCol w:w="9781"/>
      </w:tblGrid>
      <w:tr w:rsidR="00841D5B" w:rsidRPr="00335B28" w:rsidTr="00841D5B">
        <w:trPr>
          <w:trHeight w:val="724"/>
        </w:trPr>
        <w:tc>
          <w:tcPr>
            <w:tcW w:w="552" w:type="dxa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430" w:type="dxa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9" w:type="dxa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443" w:type="dxa"/>
          </w:tcPr>
          <w:p w:rsidR="00841D5B" w:rsidRDefault="00841D5B" w:rsidP="004F18FF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Значение</w:t>
            </w:r>
          </w:p>
          <w:p w:rsidR="00841D5B" w:rsidRPr="004F18FF" w:rsidRDefault="00841D5B" w:rsidP="004F18FF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(план)</w:t>
            </w:r>
          </w:p>
        </w:tc>
        <w:tc>
          <w:tcPr>
            <w:tcW w:w="9781" w:type="dxa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Методика расчета</w:t>
            </w:r>
          </w:p>
        </w:tc>
      </w:tr>
      <w:tr w:rsidR="00841D5B" w:rsidRPr="00335B28" w:rsidTr="00841D5B">
        <w:trPr>
          <w:trHeight w:val="306"/>
          <w:tblHeader/>
        </w:trPr>
        <w:tc>
          <w:tcPr>
            <w:tcW w:w="552" w:type="dxa"/>
            <w:shd w:val="clear" w:color="auto" w:fill="auto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29" w:type="dxa"/>
            <w:shd w:val="clear" w:color="auto" w:fill="auto"/>
          </w:tcPr>
          <w:p w:rsidR="00841D5B" w:rsidRPr="00335B28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841D5B" w:rsidRPr="004F18FF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841D5B" w:rsidRPr="004F18FF" w:rsidRDefault="00841D5B" w:rsidP="00B20967">
            <w:pPr>
              <w:ind w:left="-42" w:firstLine="1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41D5B" w:rsidRPr="00335B28" w:rsidTr="00841D5B">
        <w:trPr>
          <w:trHeight w:val="5306"/>
        </w:trPr>
        <w:tc>
          <w:tcPr>
            <w:tcW w:w="552" w:type="dxa"/>
            <w:shd w:val="clear" w:color="auto" w:fill="auto"/>
          </w:tcPr>
          <w:p w:rsidR="00841D5B" w:rsidRPr="00335B28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:rsidR="00841D5B" w:rsidRPr="00335B28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нарушений антимонопольного законодательства в комитете</w:t>
            </w:r>
          </w:p>
        </w:tc>
        <w:tc>
          <w:tcPr>
            <w:tcW w:w="1429" w:type="dxa"/>
            <w:shd w:val="clear" w:color="auto" w:fill="auto"/>
          </w:tcPr>
          <w:p w:rsidR="00841D5B" w:rsidRPr="00335B28" w:rsidRDefault="00841D5B" w:rsidP="004E3937">
            <w:pPr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B28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43" w:type="dxa"/>
            <w:shd w:val="clear" w:color="auto" w:fill="auto"/>
          </w:tcPr>
          <w:p w:rsidR="00841D5B" w:rsidRPr="004F18FF" w:rsidRDefault="00841D5B" w:rsidP="004E3937">
            <w:pPr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841D5B" w:rsidRPr="00B6156F" w:rsidRDefault="00841D5B" w:rsidP="00B6156F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Расчет показателя осуществляется по наличию у </w:t>
            </w:r>
            <w:r w:rsidR="00B6156F"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комитета</w:t>
            </w: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нарушений антимонопольного законодательства, решения о которых вступили в силу в отчетном периоде.</w:t>
            </w:r>
          </w:p>
          <w:p w:rsidR="00841D5B" w:rsidRPr="00B6156F" w:rsidRDefault="00841D5B" w:rsidP="00B6156F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 расчете показателя под нарушением антимонопольного законодательства </w:t>
            </w:r>
            <w:r w:rsidR="00B6156F"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комитетом</w:t>
            </w: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понимаются:</w:t>
            </w:r>
          </w:p>
          <w:p w:rsidR="00841D5B" w:rsidRPr="00B6156F" w:rsidRDefault="00841D5B" w:rsidP="00B6156F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возбужденные антимонопольным органом дела в отношении </w:t>
            </w:r>
            <w:r w:rsidR="00B6156F"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комитета</w:t>
            </w: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41D5B" w:rsidRPr="00B6156F" w:rsidRDefault="00841D5B" w:rsidP="00B6156F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выданные </w:t>
            </w:r>
            <w:r w:rsidR="00B6156F"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комитету</w:t>
            </w: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841D5B" w:rsidRPr="00B6156F" w:rsidRDefault="00841D5B" w:rsidP="00B6156F">
            <w:pPr>
              <w:widowControl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направленные </w:t>
            </w:r>
            <w:r w:rsidR="00B6156F"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комитету</w:t>
            </w: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:rsidR="00841D5B" w:rsidRPr="00335B28" w:rsidRDefault="00841D5B" w:rsidP="00B6156F">
            <w:pPr>
              <w:widowControl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B615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tr w:rsidR="00841D5B" w:rsidRPr="00335B28" w:rsidTr="00841D5B">
        <w:trPr>
          <w:trHeight w:val="641"/>
        </w:trPr>
        <w:tc>
          <w:tcPr>
            <w:tcW w:w="552" w:type="dxa"/>
            <w:shd w:val="clear" w:color="auto" w:fill="auto"/>
          </w:tcPr>
          <w:p w:rsidR="00841D5B" w:rsidRPr="004F18FF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:rsidR="00841D5B" w:rsidRPr="004F18FF" w:rsidRDefault="00841D5B" w:rsidP="00B6156F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действующих муниципальных нормативных </w:t>
            </w: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правовых актов,</w:t>
            </w:r>
            <w:r w:rsidR="00B6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разработанных и используемых</w:t>
            </w: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комитетом в своей деятельности, </w:t>
            </w: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проектов муниципальных нормативных правовых актов, разработ</w:t>
            </w:r>
            <w:r w:rsidR="00B6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анных </w:t>
            </w: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 w:rsidR="00B6156F">
              <w:rPr>
                <w:rFonts w:ascii="Times New Roman" w:eastAsia="Calibri" w:hAnsi="Times New Roman" w:cs="Times New Roman"/>
                <w:sz w:val="28"/>
                <w:szCs w:val="28"/>
              </w:rPr>
              <w:t>ом для использования в своей деятельности</w:t>
            </w: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которых выявлены </w:t>
            </w:r>
            <w:proofErr w:type="spellStart"/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комплаен</w:t>
            </w:r>
            <w:proofErr w:type="gramStart"/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spellEnd"/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риски </w:t>
            </w:r>
          </w:p>
        </w:tc>
        <w:tc>
          <w:tcPr>
            <w:tcW w:w="1429" w:type="dxa"/>
            <w:shd w:val="clear" w:color="auto" w:fill="auto"/>
          </w:tcPr>
          <w:p w:rsidR="00841D5B" w:rsidRPr="00335B28" w:rsidRDefault="00841D5B" w:rsidP="004E3937">
            <w:pPr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43" w:type="dxa"/>
            <w:shd w:val="clear" w:color="auto" w:fill="auto"/>
          </w:tcPr>
          <w:p w:rsidR="00841D5B" w:rsidRPr="004F18FF" w:rsidRDefault="00841D5B" w:rsidP="004E3937">
            <w:pPr>
              <w:ind w:left="-42"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18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841D5B" w:rsidRPr="000066A6" w:rsidRDefault="00841D5B" w:rsidP="004A7432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Расчет показателя осуществляется по формуле:</w:t>
            </w:r>
          </w:p>
          <w:p w:rsidR="00B6156F" w:rsidRPr="00B6156F" w:rsidRDefault="00B6156F" w:rsidP="00B6156F">
            <w:pPr>
              <w:pStyle w:val="Style8"/>
              <w:widowControl/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</w:pP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= (К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 xml:space="preserve"> + К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) / (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  <w:vertAlign w:val="subscript"/>
              </w:rPr>
              <w:t>ПА</w:t>
            </w:r>
            <w:r w:rsidRPr="00B6156F"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  <w:t>) х</w:t>
            </w:r>
            <w:r w:rsidRPr="00B6156F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56F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100, </w:t>
            </w:r>
            <w:r w:rsidRPr="00B6156F">
              <w:rPr>
                <w:rStyle w:val="FontStyle26"/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841D5B" w:rsidRPr="000066A6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муниципальных нормативных правовых актов </w:t>
            </w:r>
            <w:r w:rsidR="00B6156F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разработанных и 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используемых </w:t>
            </w:r>
            <w:r w:rsidR="00B6156F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комитетом </w:t>
            </w:r>
            <w:r w:rsidR="005D55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своей деятельности,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проектов муниципальных 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нормативных правовых актов</w:t>
            </w:r>
            <w:r w:rsidR="000066A6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разработанных комитетом</w:t>
            </w:r>
            <w:r w:rsidR="000066A6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использования в своей деятельности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в которых выявлены </w:t>
            </w:r>
            <w:proofErr w:type="spellStart"/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комплаенс</w:t>
            </w:r>
            <w:proofErr w:type="spellEnd"/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-риски (в отчетном периоде);</w:t>
            </w:r>
          </w:p>
          <w:p w:rsidR="00841D5B" w:rsidRPr="000066A6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МНПА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муниципальных нормативных правовых актов</w:t>
            </w:r>
            <w:r w:rsidR="000066A6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разработанных и используемых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комитет</w:t>
            </w:r>
            <w:r w:rsidR="000066A6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ом</w:t>
            </w:r>
            <w:r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 своей деятельности в которых выявлены риски нарушения антимонопольного законодательства (в отчетном периоде);</w:t>
            </w:r>
          </w:p>
          <w:p w:rsidR="00841D5B" w:rsidRPr="000066A6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ПМНПА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количество проектов муниципальных нормативных правовых актов </w:t>
            </w:r>
            <w:r w:rsidR="000066A6"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разработанных 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комитет</w:t>
            </w:r>
            <w:r w:rsidR="000066A6"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ом для использования в своей деятельности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 (в отчетном периоде);</w:t>
            </w:r>
          </w:p>
          <w:p w:rsidR="00841D5B" w:rsidRPr="000066A6" w:rsidRDefault="00841D5B" w:rsidP="00B20967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ПА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общее количество муниципальных нормативных правовых актов</w:t>
            </w:r>
            <w:r w:rsidR="000066A6"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066A6" w:rsidRPr="000066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разработанных и используемых комитетом в своей деятельности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проектов муниципальных нормативных правовых актов</w:t>
            </w:r>
            <w:r w:rsidR="000066A6"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, разработанных комитетом для использования в своей деятельности</w:t>
            </w: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отчетном периоде).</w:t>
            </w:r>
          </w:p>
          <w:p w:rsidR="00841D5B" w:rsidRPr="00335B28" w:rsidRDefault="00841D5B" w:rsidP="005D5535">
            <w:pPr>
              <w:ind w:left="-42" w:firstLine="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66A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:rsidR="002F5DA8" w:rsidRDefault="002F5DA8"/>
    <w:sectPr w:rsidR="002F5DA8" w:rsidSect="00C57EE9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1B" w:rsidRDefault="0099241B" w:rsidP="000066A6">
      <w:r>
        <w:separator/>
      </w:r>
    </w:p>
  </w:endnote>
  <w:endnote w:type="continuationSeparator" w:id="0">
    <w:p w:rsidR="0099241B" w:rsidRDefault="0099241B" w:rsidP="0000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1B" w:rsidRDefault="0099241B" w:rsidP="000066A6">
      <w:r>
        <w:separator/>
      </w:r>
    </w:p>
  </w:footnote>
  <w:footnote w:type="continuationSeparator" w:id="0">
    <w:p w:rsidR="0099241B" w:rsidRDefault="0099241B" w:rsidP="00006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442217"/>
      <w:docPartObj>
        <w:docPartGallery w:val="Page Numbers (Top of Page)"/>
        <w:docPartUnique/>
      </w:docPartObj>
    </w:sdtPr>
    <w:sdtEndPr/>
    <w:sdtContent>
      <w:p w:rsidR="000066A6" w:rsidRDefault="000066A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E9">
          <w:rPr>
            <w:noProof/>
          </w:rPr>
          <w:t>2</w:t>
        </w:r>
        <w:r>
          <w:fldChar w:fldCharType="end"/>
        </w:r>
      </w:p>
    </w:sdtContent>
  </w:sdt>
  <w:p w:rsidR="000066A6" w:rsidRDefault="00006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A6" w:rsidRDefault="000066A6">
    <w:pPr>
      <w:pStyle w:val="a3"/>
      <w:jc w:val="right"/>
    </w:pPr>
  </w:p>
  <w:p w:rsidR="000066A6" w:rsidRDefault="00006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CD"/>
    <w:rsid w:val="000066A6"/>
    <w:rsid w:val="0017148B"/>
    <w:rsid w:val="0017731D"/>
    <w:rsid w:val="001D1D1C"/>
    <w:rsid w:val="002F5DA8"/>
    <w:rsid w:val="004A7432"/>
    <w:rsid w:val="004E3937"/>
    <w:rsid w:val="004F18FF"/>
    <w:rsid w:val="005D5535"/>
    <w:rsid w:val="006866AB"/>
    <w:rsid w:val="006F4DCD"/>
    <w:rsid w:val="007511DC"/>
    <w:rsid w:val="00841D5B"/>
    <w:rsid w:val="0099241B"/>
    <w:rsid w:val="00B6156F"/>
    <w:rsid w:val="00C57EE9"/>
    <w:rsid w:val="00F3693E"/>
    <w:rsid w:val="00F5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B6156F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6156F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6">
    <w:name w:val="Style16"/>
    <w:basedOn w:val="a"/>
    <w:uiPriority w:val="99"/>
    <w:rsid w:val="00B6156F"/>
    <w:pPr>
      <w:spacing w:line="271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26">
    <w:name w:val="Font Style26"/>
    <w:uiPriority w:val="99"/>
    <w:rsid w:val="00B6156F"/>
    <w:rPr>
      <w:rFonts w:ascii="Arial" w:hAnsi="Arial" w:cs="Arial"/>
      <w:sz w:val="24"/>
      <w:szCs w:val="24"/>
    </w:rPr>
  </w:style>
  <w:style w:type="character" w:customStyle="1" w:styleId="FontStyle29">
    <w:name w:val="Font Style29"/>
    <w:uiPriority w:val="99"/>
    <w:rsid w:val="00B6156F"/>
    <w:rPr>
      <w:rFonts w:ascii="Arial" w:hAnsi="Arial" w:cs="Arial"/>
      <w:sz w:val="24"/>
      <w:szCs w:val="24"/>
    </w:rPr>
  </w:style>
  <w:style w:type="character" w:customStyle="1" w:styleId="FontStyle32">
    <w:name w:val="Font Style32"/>
    <w:uiPriority w:val="99"/>
    <w:rsid w:val="00B6156F"/>
    <w:rPr>
      <w:rFonts w:ascii="Arial" w:hAnsi="Arial" w:cs="Arial"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6A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6A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9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3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uiPriority w:val="99"/>
    <w:rsid w:val="00B6156F"/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B6156F"/>
    <w:pPr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tyle16">
    <w:name w:val="Style16"/>
    <w:basedOn w:val="a"/>
    <w:uiPriority w:val="99"/>
    <w:rsid w:val="00B6156F"/>
    <w:pPr>
      <w:spacing w:line="271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FontStyle26">
    <w:name w:val="Font Style26"/>
    <w:uiPriority w:val="99"/>
    <w:rsid w:val="00B6156F"/>
    <w:rPr>
      <w:rFonts w:ascii="Arial" w:hAnsi="Arial" w:cs="Arial"/>
      <w:sz w:val="24"/>
      <w:szCs w:val="24"/>
    </w:rPr>
  </w:style>
  <w:style w:type="character" w:customStyle="1" w:styleId="FontStyle29">
    <w:name w:val="Font Style29"/>
    <w:uiPriority w:val="99"/>
    <w:rsid w:val="00B6156F"/>
    <w:rPr>
      <w:rFonts w:ascii="Arial" w:hAnsi="Arial" w:cs="Arial"/>
      <w:sz w:val="24"/>
      <w:szCs w:val="24"/>
    </w:rPr>
  </w:style>
  <w:style w:type="character" w:customStyle="1" w:styleId="FontStyle32">
    <w:name w:val="Font Style32"/>
    <w:uiPriority w:val="99"/>
    <w:rsid w:val="00B6156F"/>
    <w:rPr>
      <w:rFonts w:ascii="Arial" w:hAnsi="Arial" w:cs="Arial"/>
      <w:spacing w:val="-1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06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6A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06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6A6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9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39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Коломбин</dc:creator>
  <cp:lastModifiedBy>Коломбин</cp:lastModifiedBy>
  <cp:revision>3</cp:revision>
  <cp:lastPrinted>2022-12-27T04:39:00Z</cp:lastPrinted>
  <dcterms:created xsi:type="dcterms:W3CDTF">2022-12-15T01:46:00Z</dcterms:created>
  <dcterms:modified xsi:type="dcterms:W3CDTF">2022-12-27T04:39:00Z</dcterms:modified>
</cp:coreProperties>
</file>