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оценки регулирующего воздействия </w:t>
      </w:r>
      <w:r w:rsidR="00EF2FB0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ул.Короленко,65, г.Барнаул, 656043, тел.371-401,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7E67CD">
        <w:rPr>
          <w:rFonts w:ascii="Times New Roman" w:hAnsi="Times New Roman" w:cs="Times New Roman"/>
          <w:sz w:val="28"/>
          <w:szCs w:val="28"/>
        </w:rPr>
        <w:t xml:space="preserve">- </w:t>
      </w:r>
      <w:r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F2FB0" w:rsidRPr="006F0C1A" w:rsidRDefault="00EF2FB0" w:rsidP="005A7A22">
      <w:pPr>
        <w:shd w:val="clear" w:color="auto" w:fill="FFFFFF"/>
        <w:spacing w:after="0" w:line="322" w:lineRule="exact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D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</w:t>
      </w:r>
      <w:r w:rsidR="0094775F">
        <w:rPr>
          <w:rFonts w:ascii="Times New Roman" w:hAnsi="Times New Roman" w:cs="Times New Roman"/>
          <w:sz w:val="28"/>
          <w:szCs w:val="28"/>
        </w:rPr>
        <w:t xml:space="preserve">ого акта направлен </w:t>
      </w:r>
      <w:r w:rsidR="0094775F">
        <w:rPr>
          <w:rFonts w:ascii="Times New Roman" w:hAnsi="Times New Roman" w:cs="Times New Roman"/>
          <w:sz w:val="28"/>
          <w:szCs w:val="28"/>
        </w:rPr>
        <w:br/>
        <w:t xml:space="preserve">на решение </w:t>
      </w:r>
      <w:r w:rsidRPr="004F4ED5">
        <w:rPr>
          <w:rFonts w:ascii="Times New Roman" w:hAnsi="Times New Roman" w:cs="Times New Roman"/>
          <w:sz w:val="28"/>
          <w:szCs w:val="28"/>
        </w:rPr>
        <w:t>проблемы</w:t>
      </w:r>
      <w:r w:rsidR="005A7A22">
        <w:rPr>
          <w:rFonts w:ascii="Times New Roman" w:hAnsi="Times New Roman" w:cs="Times New Roman"/>
          <w:sz w:val="28"/>
          <w:szCs w:val="28"/>
        </w:rPr>
        <w:t xml:space="preserve"> неопределенности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коэффициента инфляции для расчета</w:t>
      </w:r>
      <w:r w:rsidR="005A7A2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</w:t>
      </w:r>
      <w:r w:rsidR="005A7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C1A" w:rsidRPr="006F0C1A" w:rsidRDefault="006F0C1A" w:rsidP="005A7A22">
      <w:pPr>
        <w:shd w:val="clear" w:color="auto" w:fill="FFFFFF"/>
        <w:spacing w:after="0" w:line="317" w:lineRule="exact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9A0B7D" w:rsidRPr="009A0B7D" w:rsidRDefault="009A0B7D" w:rsidP="009A0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08FE"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Pr="00B208FE">
        <w:rPr>
          <w:rFonts w:ascii="Times New Roman" w:hAnsi="Times New Roman"/>
          <w:sz w:val="28"/>
          <w:szCs w:val="28"/>
        </w:rPr>
        <w:br/>
        <w:t>не повлечет увеличение (уменьшение) органов местного самоуправления города, связанных с измен</w:t>
      </w:r>
      <w:r>
        <w:rPr>
          <w:rFonts w:ascii="Times New Roman" w:hAnsi="Times New Roman"/>
          <w:sz w:val="28"/>
          <w:szCs w:val="28"/>
        </w:rPr>
        <w:t xml:space="preserve">ением их прав и обязанностей.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D61559" w:rsidRDefault="006F0C1A" w:rsidP="002D01E7">
      <w:pPr>
        <w:shd w:val="clear" w:color="auto" w:fill="FFFFFF"/>
        <w:spacing w:before="19"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D61559" w:rsidRDefault="00D61559" w:rsidP="0046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D61559" w:rsidRDefault="00D61559" w:rsidP="0046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18.11.2019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927685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.2019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8C6559" w:rsidRDefault="00D61559" w:rsidP="00463A8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 w:rsidR="009A0B7D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A0B7D" w:rsidRPr="00463A89">
        <w:rPr>
          <w:rFonts w:ascii="Times New Roman" w:hAnsi="Times New Roman" w:cs="Times New Roman"/>
          <w:sz w:val="28"/>
          <w:szCs w:val="28"/>
        </w:rPr>
        <w:t>от 10.11.2014 №90-ЗС</w:t>
      </w:r>
      <w:r w:rsidRPr="00463A89">
        <w:rPr>
          <w:rFonts w:ascii="Times New Roman" w:hAnsi="Times New Roman" w:cs="Times New Roman"/>
          <w:sz w:val="28"/>
          <w:szCs w:val="28"/>
        </w:rPr>
        <w:t xml:space="preserve"> были направлены в:</w:t>
      </w:r>
      <w:r w:rsidR="00463A89" w:rsidRPr="00463A89">
        <w:rPr>
          <w:rFonts w:ascii="Times New Roman" w:hAnsi="Times New Roman" w:cs="Times New Roman"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sz w:val="28"/>
          <w:szCs w:val="28"/>
        </w:rPr>
        <w:t>администрации районов города Барнаула;</w:t>
      </w:r>
      <w:r w:rsidR="00463A89" w:rsidRPr="00463A89">
        <w:rPr>
          <w:rFonts w:ascii="Times New Roman" w:hAnsi="Times New Roman" w:cs="Times New Roman"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города Барнаула. </w:t>
      </w:r>
    </w:p>
    <w:p w:rsidR="00463A89" w:rsidRPr="00463A89" w:rsidRDefault="00463A89" w:rsidP="008C6559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предложений в связи с проведением</w:t>
      </w:r>
      <w:r w:rsidRPr="00463A8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463A89" w:rsidRPr="00744BEA" w:rsidRDefault="00463A89" w:rsidP="008C65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доработке  сводного отчета о проведении оценки регулирующего воздействия, в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который   дополнительно   включаются   сведения   о  проведении  публичного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обсуждения  проекта  муниципального  нормативного правового акта и сводного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 воздействия.</w:t>
      </w:r>
    </w:p>
    <w:p w:rsidR="00283EE1" w:rsidRPr="00463A89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     </w:t>
      </w:r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EC" w:rsidRDefault="00A232EC" w:rsidP="00E61310">
      <w:pPr>
        <w:spacing w:after="0" w:line="240" w:lineRule="auto"/>
      </w:pPr>
      <w:r>
        <w:separator/>
      </w:r>
    </w:p>
  </w:endnote>
  <w:endnote w:type="continuationSeparator" w:id="0">
    <w:p w:rsidR="00A232EC" w:rsidRDefault="00A232E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EC" w:rsidRDefault="00A232EC" w:rsidP="00E61310">
      <w:pPr>
        <w:spacing w:after="0" w:line="240" w:lineRule="auto"/>
      </w:pPr>
      <w:r>
        <w:separator/>
      </w:r>
    </w:p>
  </w:footnote>
  <w:footnote w:type="continuationSeparator" w:id="0">
    <w:p w:rsidR="00A232EC" w:rsidRDefault="00A232E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1E7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5405B"/>
    <w:rsid w:val="00463A89"/>
    <w:rsid w:val="00465B91"/>
    <w:rsid w:val="00486C8B"/>
    <w:rsid w:val="004B0324"/>
    <w:rsid w:val="004D0AE2"/>
    <w:rsid w:val="004F2D93"/>
    <w:rsid w:val="00502375"/>
    <w:rsid w:val="00557DBB"/>
    <w:rsid w:val="0057777B"/>
    <w:rsid w:val="005A7A22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42BDB"/>
    <w:rsid w:val="00744BEA"/>
    <w:rsid w:val="0076776C"/>
    <w:rsid w:val="007E67CD"/>
    <w:rsid w:val="00806284"/>
    <w:rsid w:val="00850714"/>
    <w:rsid w:val="0086208A"/>
    <w:rsid w:val="008655D3"/>
    <w:rsid w:val="008765C6"/>
    <w:rsid w:val="008C58E2"/>
    <w:rsid w:val="008C6559"/>
    <w:rsid w:val="009038FA"/>
    <w:rsid w:val="00904C2A"/>
    <w:rsid w:val="00914E11"/>
    <w:rsid w:val="00915569"/>
    <w:rsid w:val="00927685"/>
    <w:rsid w:val="00940657"/>
    <w:rsid w:val="0094775F"/>
    <w:rsid w:val="00957C34"/>
    <w:rsid w:val="00963F2C"/>
    <w:rsid w:val="009806EA"/>
    <w:rsid w:val="00986653"/>
    <w:rsid w:val="009A0B7D"/>
    <w:rsid w:val="009E5084"/>
    <w:rsid w:val="00A232EC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8120A"/>
    <w:rsid w:val="00BA0497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61559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EF2FB0"/>
    <w:rsid w:val="00F004C9"/>
    <w:rsid w:val="00F22DF8"/>
    <w:rsid w:val="00F26E15"/>
    <w:rsid w:val="00F769A8"/>
    <w:rsid w:val="00FA1611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0C6A-4922-416B-B4B6-C6FB04D9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84DF-D0B7-4EF4-92D9-C72B1B48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2019-12-12T10:53:00Z</cp:lastPrinted>
  <dcterms:created xsi:type="dcterms:W3CDTF">2019-12-19T08:15:00Z</dcterms:created>
  <dcterms:modified xsi:type="dcterms:W3CDTF">2019-12-19T08:15:00Z</dcterms:modified>
</cp:coreProperties>
</file>