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03FD" w:rsidRPr="00755462" w:rsidRDefault="00A22929" w:rsidP="00454687">
      <w:pPr>
        <w:ind w:left="-284" w:right="-306"/>
        <w:jc w:val="center"/>
        <w:rPr>
          <w:b/>
          <w:sz w:val="24"/>
          <w:szCs w:val="24"/>
        </w:rPr>
      </w:pPr>
      <w:bookmarkStart w:id="0" w:name="_GoBack"/>
      <w:bookmarkEnd w:id="0"/>
      <w:r w:rsidRPr="00755462">
        <w:rPr>
          <w:b/>
          <w:sz w:val="24"/>
          <w:szCs w:val="24"/>
        </w:rPr>
        <w:t xml:space="preserve">ОБЗОР </w:t>
      </w:r>
    </w:p>
    <w:p w:rsidR="00FA50BE" w:rsidRDefault="008203FD" w:rsidP="00755462">
      <w:pPr>
        <w:ind w:left="-284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г.Барнауле за январь – апрель  2016 года</w:t>
      </w:r>
    </w:p>
    <w:p w:rsidR="004A317D" w:rsidRDefault="004A317D" w:rsidP="00755462">
      <w:pPr>
        <w:ind w:left="-284" w:right="-306" w:firstLine="567"/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945"/>
        <w:gridCol w:w="1134"/>
        <w:gridCol w:w="1701"/>
      </w:tblGrid>
      <w:tr w:rsidR="004A317D" w:rsidRPr="000C45CC" w:rsidTr="004A317D">
        <w:tc>
          <w:tcPr>
            <w:tcW w:w="426" w:type="dxa"/>
            <w:vMerge w:val="restart"/>
            <w:shd w:val="clear" w:color="auto" w:fill="C6D9F1" w:themeFill="text2" w:themeFillTint="33"/>
            <w:vAlign w:val="center"/>
          </w:tcPr>
          <w:p w:rsidR="004A317D" w:rsidRPr="000C45CC" w:rsidRDefault="004A317D" w:rsidP="004A317D">
            <w:pPr>
              <w:ind w:left="-400" w:right="-249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945" w:type="dxa"/>
            <w:vMerge w:val="restart"/>
            <w:shd w:val="clear" w:color="auto" w:fill="C6D9F1" w:themeFill="text2" w:themeFillTint="33"/>
            <w:vAlign w:val="center"/>
          </w:tcPr>
          <w:p w:rsidR="004A317D" w:rsidRPr="000C45CC" w:rsidRDefault="004A317D" w:rsidP="004A317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gridSpan w:val="2"/>
            <w:shd w:val="clear" w:color="auto" w:fill="C6D9F1" w:themeFill="text2" w:themeFillTint="33"/>
          </w:tcPr>
          <w:p w:rsidR="004A317D" w:rsidRPr="006E7A64" w:rsidRDefault="004A317D" w:rsidP="004A317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6E7A64">
              <w:rPr>
                <w:sz w:val="23"/>
                <w:szCs w:val="23"/>
              </w:rPr>
              <w:t>в % к соотв. периоду 201</w:t>
            </w:r>
            <w:r>
              <w:rPr>
                <w:sz w:val="23"/>
                <w:szCs w:val="23"/>
              </w:rPr>
              <w:t>5</w:t>
            </w:r>
            <w:r w:rsidRPr="006E7A64">
              <w:rPr>
                <w:sz w:val="23"/>
                <w:szCs w:val="23"/>
              </w:rPr>
              <w:t xml:space="preserve"> г.</w:t>
            </w:r>
          </w:p>
        </w:tc>
      </w:tr>
      <w:tr w:rsidR="004A317D" w:rsidRPr="000C45CC" w:rsidTr="004A317D">
        <w:tc>
          <w:tcPr>
            <w:tcW w:w="426" w:type="dxa"/>
            <w:vMerge/>
            <w:shd w:val="clear" w:color="auto" w:fill="C6D9F1" w:themeFill="text2" w:themeFillTint="33"/>
          </w:tcPr>
          <w:p w:rsidR="004A317D" w:rsidRPr="000C45CC" w:rsidRDefault="004A317D" w:rsidP="004A317D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shd w:val="clear" w:color="auto" w:fill="C6D9F1" w:themeFill="text2" w:themeFillTint="33"/>
          </w:tcPr>
          <w:p w:rsidR="004A317D" w:rsidRPr="000C45CC" w:rsidRDefault="004A317D" w:rsidP="004A317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4A317D" w:rsidRPr="006E7A64" w:rsidRDefault="004A317D" w:rsidP="004A317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6E7A64">
              <w:rPr>
                <w:sz w:val="23"/>
                <w:szCs w:val="23"/>
              </w:rPr>
              <w:t>г.Барнаул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A317D" w:rsidRPr="006E7A64" w:rsidRDefault="004A317D" w:rsidP="004A317D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6E7A64">
              <w:rPr>
                <w:sz w:val="23"/>
                <w:szCs w:val="23"/>
              </w:rPr>
              <w:t>Алтайский край</w:t>
            </w:r>
          </w:p>
        </w:tc>
      </w:tr>
      <w:tr w:rsidR="004A317D" w:rsidRPr="00987AA1" w:rsidTr="004A317D">
        <w:tc>
          <w:tcPr>
            <w:tcW w:w="426" w:type="dxa"/>
          </w:tcPr>
          <w:p w:rsidR="004A317D" w:rsidRPr="00987AA1" w:rsidRDefault="004A317D" w:rsidP="004A317D">
            <w:pPr>
              <w:pStyle w:val="ad"/>
              <w:numPr>
                <w:ilvl w:val="0"/>
                <w:numId w:val="2"/>
              </w:numPr>
              <w:tabs>
                <w:tab w:val="left" w:pos="177"/>
              </w:tabs>
              <w:ind w:left="0" w:firstLine="34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4A317D" w:rsidRPr="00987AA1" w:rsidRDefault="004A317D" w:rsidP="004A317D">
            <w:pPr>
              <w:widowControl w:val="0"/>
              <w:ind w:right="-108"/>
              <w:rPr>
                <w:spacing w:val="-4"/>
                <w:sz w:val="24"/>
                <w:szCs w:val="24"/>
              </w:rPr>
            </w:pPr>
            <w:r w:rsidRPr="00987AA1">
              <w:rPr>
                <w:spacing w:val="-4"/>
                <w:sz w:val="24"/>
                <w:szCs w:val="24"/>
              </w:rPr>
              <w:t>Индекс промышленного производства</w:t>
            </w:r>
          </w:p>
          <w:p w:rsidR="004A317D" w:rsidRPr="00987AA1" w:rsidRDefault="004A317D" w:rsidP="004A317D">
            <w:pPr>
              <w:widowControl w:val="0"/>
              <w:ind w:right="-108"/>
              <w:rPr>
                <w:spacing w:val="-4"/>
                <w:sz w:val="24"/>
                <w:szCs w:val="24"/>
              </w:rPr>
            </w:pPr>
            <w:r w:rsidRPr="00987AA1">
              <w:rPr>
                <w:spacing w:val="-4"/>
                <w:sz w:val="24"/>
                <w:szCs w:val="24"/>
              </w:rPr>
              <w:t>(по полному кругу</w:t>
            </w:r>
            <w:r>
              <w:rPr>
                <w:spacing w:val="-4"/>
                <w:sz w:val="24"/>
                <w:szCs w:val="24"/>
              </w:rPr>
              <w:t xml:space="preserve"> организаций</w:t>
            </w:r>
            <w:r w:rsidRPr="00987AA1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4A317D" w:rsidRPr="006F410F" w:rsidRDefault="004A317D" w:rsidP="009344D9">
            <w:pPr>
              <w:widowControl w:val="0"/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spacing w:val="-4"/>
                <w:sz w:val="24"/>
                <w:szCs w:val="24"/>
              </w:rPr>
              <w:t>99,5</w:t>
            </w:r>
          </w:p>
        </w:tc>
        <w:tc>
          <w:tcPr>
            <w:tcW w:w="1701" w:type="dxa"/>
            <w:vAlign w:val="bottom"/>
          </w:tcPr>
          <w:p w:rsidR="004A317D" w:rsidRPr="00BD35F7" w:rsidRDefault="004A317D" w:rsidP="009344D9">
            <w:pPr>
              <w:widowControl w:val="0"/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  <w:vertAlign w:val="superscript"/>
              </w:rPr>
            </w:pPr>
            <w:r>
              <w:rPr>
                <w:spacing w:val="-4"/>
                <w:sz w:val="24"/>
                <w:szCs w:val="24"/>
              </w:rPr>
              <w:t>100,3</w:t>
            </w:r>
          </w:p>
        </w:tc>
      </w:tr>
      <w:tr w:rsidR="004A317D" w:rsidRPr="00987AA1" w:rsidTr="004A317D">
        <w:tc>
          <w:tcPr>
            <w:tcW w:w="426" w:type="dxa"/>
          </w:tcPr>
          <w:p w:rsidR="004A317D" w:rsidRPr="00987AA1" w:rsidRDefault="004A317D" w:rsidP="004A317D">
            <w:pPr>
              <w:pStyle w:val="ad"/>
              <w:numPr>
                <w:ilvl w:val="0"/>
                <w:numId w:val="2"/>
              </w:numPr>
              <w:tabs>
                <w:tab w:val="left" w:pos="136"/>
                <w:tab w:val="left" w:pos="351"/>
              </w:tabs>
              <w:ind w:left="0" w:firstLine="34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4A317D" w:rsidRDefault="004A317D" w:rsidP="004A317D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</w:t>
            </w:r>
            <w:r w:rsidRPr="00987AA1">
              <w:rPr>
                <w:sz w:val="24"/>
                <w:szCs w:val="24"/>
              </w:rPr>
              <w:t xml:space="preserve"> ввода в действие жилых домов</w:t>
            </w:r>
            <w:r>
              <w:rPr>
                <w:sz w:val="24"/>
                <w:szCs w:val="24"/>
              </w:rPr>
              <w:t xml:space="preserve">, </w:t>
            </w:r>
          </w:p>
          <w:p w:rsidR="004A317D" w:rsidRPr="00987AA1" w:rsidRDefault="004A317D" w:rsidP="004A317D">
            <w:pPr>
              <w:widowControl w:val="0"/>
              <w:ind w:right="-108"/>
              <w:rPr>
                <w:sz w:val="24"/>
                <w:szCs w:val="24"/>
              </w:rPr>
            </w:pPr>
            <w:r w:rsidRPr="00987AA1">
              <w:rPr>
                <w:sz w:val="24"/>
                <w:szCs w:val="24"/>
              </w:rPr>
              <w:t>в том числе индивидуальное жилищное строительство</w:t>
            </w:r>
          </w:p>
        </w:tc>
        <w:tc>
          <w:tcPr>
            <w:tcW w:w="1134" w:type="dxa"/>
            <w:vAlign w:val="bottom"/>
          </w:tcPr>
          <w:p w:rsidR="004A317D" w:rsidRPr="001A4A95" w:rsidRDefault="004A317D" w:rsidP="009344D9">
            <w:pPr>
              <w:widowControl w:val="0"/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88,7</w:t>
            </w:r>
          </w:p>
          <w:p w:rsidR="004A317D" w:rsidRPr="001A4A95" w:rsidRDefault="004A317D" w:rsidP="009344D9">
            <w:pPr>
              <w:widowControl w:val="0"/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46,3</w:t>
            </w:r>
          </w:p>
        </w:tc>
        <w:tc>
          <w:tcPr>
            <w:tcW w:w="1701" w:type="dxa"/>
            <w:vAlign w:val="bottom"/>
          </w:tcPr>
          <w:p w:rsidR="004A317D" w:rsidRPr="001A4A95" w:rsidRDefault="004A317D" w:rsidP="009344D9">
            <w:pPr>
              <w:widowControl w:val="0"/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85,6</w:t>
            </w:r>
          </w:p>
          <w:p w:rsidR="004A317D" w:rsidRPr="001A4A95" w:rsidRDefault="004A317D" w:rsidP="009344D9">
            <w:pPr>
              <w:widowControl w:val="0"/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65,7</w:t>
            </w:r>
          </w:p>
        </w:tc>
      </w:tr>
      <w:tr w:rsidR="004A317D" w:rsidRPr="00987AA1" w:rsidTr="004A317D">
        <w:tc>
          <w:tcPr>
            <w:tcW w:w="426" w:type="dxa"/>
          </w:tcPr>
          <w:p w:rsidR="004A317D" w:rsidRPr="00987AA1" w:rsidRDefault="004A317D" w:rsidP="004A317D">
            <w:pPr>
              <w:pStyle w:val="ad"/>
              <w:numPr>
                <w:ilvl w:val="0"/>
                <w:numId w:val="2"/>
              </w:numPr>
              <w:ind w:left="0" w:firstLine="34"/>
              <w:rPr>
                <w:color w:val="FF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4A317D" w:rsidRDefault="004A317D" w:rsidP="004A317D">
            <w:pPr>
              <w:ind w:right="-108"/>
              <w:jc w:val="both"/>
              <w:rPr>
                <w:sz w:val="24"/>
                <w:szCs w:val="24"/>
              </w:rPr>
            </w:pPr>
            <w:r w:rsidRPr="00987AA1">
              <w:rPr>
                <w:sz w:val="24"/>
                <w:szCs w:val="24"/>
              </w:rPr>
              <w:t xml:space="preserve">Индекс потребительских цен на все товары и услуги, </w:t>
            </w:r>
          </w:p>
          <w:p w:rsidR="004A317D" w:rsidRPr="00987AA1" w:rsidRDefault="004A317D" w:rsidP="004A317D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апрель 2016 </w:t>
            </w:r>
            <w:r w:rsidRPr="00987AA1">
              <w:rPr>
                <w:i/>
                <w:sz w:val="24"/>
                <w:szCs w:val="24"/>
              </w:rPr>
              <w:t>г. к декабрю 201</w:t>
            </w:r>
            <w:r>
              <w:rPr>
                <w:i/>
                <w:sz w:val="24"/>
                <w:szCs w:val="24"/>
              </w:rPr>
              <w:t xml:space="preserve">5 </w:t>
            </w:r>
            <w:r w:rsidRPr="00987AA1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1134" w:type="dxa"/>
            <w:vAlign w:val="bottom"/>
          </w:tcPr>
          <w:p w:rsidR="004A317D" w:rsidRPr="006F410F" w:rsidRDefault="004A317D" w:rsidP="009344D9">
            <w:pPr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102,2</w:t>
            </w:r>
          </w:p>
        </w:tc>
        <w:tc>
          <w:tcPr>
            <w:tcW w:w="1701" w:type="dxa"/>
            <w:vAlign w:val="bottom"/>
          </w:tcPr>
          <w:p w:rsidR="004A317D" w:rsidRPr="00635EC8" w:rsidRDefault="004A317D" w:rsidP="009344D9">
            <w:pPr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 w:rsidRPr="00635EC8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>,2</w:t>
            </w:r>
          </w:p>
        </w:tc>
      </w:tr>
      <w:tr w:rsidR="004A317D" w:rsidRPr="00FD7ED8" w:rsidTr="004A317D">
        <w:trPr>
          <w:trHeight w:val="621"/>
        </w:trPr>
        <w:tc>
          <w:tcPr>
            <w:tcW w:w="426" w:type="dxa"/>
          </w:tcPr>
          <w:p w:rsidR="004A317D" w:rsidRPr="00987AA1" w:rsidRDefault="004A317D" w:rsidP="004A317D">
            <w:pPr>
              <w:pStyle w:val="ad"/>
              <w:numPr>
                <w:ilvl w:val="0"/>
                <w:numId w:val="2"/>
              </w:numPr>
              <w:ind w:left="0" w:firstLine="34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4A317D" w:rsidRDefault="004A317D" w:rsidP="004A317D">
            <w:pPr>
              <w:jc w:val="both"/>
              <w:rPr>
                <w:sz w:val="24"/>
                <w:szCs w:val="24"/>
              </w:rPr>
            </w:pPr>
            <w:r w:rsidRPr="00987AA1">
              <w:rPr>
                <w:sz w:val="24"/>
                <w:szCs w:val="24"/>
              </w:rPr>
              <w:t>Темп роста оборота розничной торговли</w:t>
            </w:r>
          </w:p>
          <w:p w:rsidR="004A317D" w:rsidRPr="001A7BB3" w:rsidRDefault="004A317D" w:rsidP="004A317D">
            <w:pPr>
              <w:ind w:right="-108"/>
              <w:jc w:val="both"/>
              <w:rPr>
                <w:sz w:val="10"/>
                <w:szCs w:val="10"/>
              </w:rPr>
            </w:pPr>
            <w:r w:rsidRPr="00987AA1">
              <w:rPr>
                <w:spacing w:val="-4"/>
                <w:sz w:val="24"/>
                <w:szCs w:val="24"/>
              </w:rPr>
              <w:t xml:space="preserve">(по крупным и средним </w:t>
            </w:r>
            <w:r>
              <w:rPr>
                <w:spacing w:val="-4"/>
                <w:sz w:val="24"/>
                <w:szCs w:val="24"/>
              </w:rPr>
              <w:t>организациям</w:t>
            </w:r>
            <w:r w:rsidRPr="00987AA1">
              <w:rPr>
                <w:spacing w:val="-4"/>
                <w:sz w:val="24"/>
                <w:szCs w:val="24"/>
              </w:rPr>
              <w:t>)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987AA1">
              <w:rPr>
                <w:i/>
                <w:sz w:val="24"/>
                <w:szCs w:val="24"/>
              </w:rPr>
              <w:t xml:space="preserve">в </w:t>
            </w:r>
            <w:r>
              <w:rPr>
                <w:i/>
                <w:sz w:val="24"/>
                <w:szCs w:val="24"/>
              </w:rPr>
              <w:t>действующих</w:t>
            </w:r>
            <w:r w:rsidRPr="00987AA1">
              <w:rPr>
                <w:i/>
                <w:sz w:val="24"/>
                <w:szCs w:val="24"/>
              </w:rPr>
              <w:t xml:space="preserve"> ценах</w:t>
            </w:r>
            <w:r w:rsidRPr="001A7BB3">
              <w:rPr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4A317D" w:rsidRPr="00635EC8" w:rsidRDefault="004A317D" w:rsidP="009344D9">
            <w:pPr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</w:p>
          <w:p w:rsidR="004A317D" w:rsidRPr="00635EC8" w:rsidRDefault="004A317D" w:rsidP="009344D9">
            <w:pPr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101,4</w:t>
            </w:r>
          </w:p>
        </w:tc>
        <w:tc>
          <w:tcPr>
            <w:tcW w:w="1701" w:type="dxa"/>
          </w:tcPr>
          <w:p w:rsidR="004A317D" w:rsidRPr="00843BCE" w:rsidRDefault="004A317D" w:rsidP="009344D9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4A317D" w:rsidRPr="00843BCE" w:rsidRDefault="004A317D" w:rsidP="009344D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102,4</w:t>
            </w:r>
          </w:p>
        </w:tc>
      </w:tr>
      <w:tr w:rsidR="004A317D" w:rsidRPr="00FD7ED8" w:rsidTr="004A317D">
        <w:trPr>
          <w:trHeight w:val="487"/>
        </w:trPr>
        <w:tc>
          <w:tcPr>
            <w:tcW w:w="426" w:type="dxa"/>
          </w:tcPr>
          <w:p w:rsidR="004A317D" w:rsidRPr="00B7392E" w:rsidRDefault="004A317D" w:rsidP="004A317D">
            <w:pPr>
              <w:pStyle w:val="ad"/>
              <w:numPr>
                <w:ilvl w:val="0"/>
                <w:numId w:val="2"/>
              </w:numPr>
              <w:ind w:left="0" w:firstLine="34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4A317D" w:rsidRDefault="004A317D" w:rsidP="004A317D">
            <w:pPr>
              <w:jc w:val="both"/>
              <w:rPr>
                <w:sz w:val="24"/>
                <w:szCs w:val="24"/>
              </w:rPr>
            </w:pPr>
            <w:r w:rsidRPr="00987AA1">
              <w:rPr>
                <w:sz w:val="24"/>
                <w:szCs w:val="24"/>
              </w:rPr>
              <w:t xml:space="preserve">Темп роста </w:t>
            </w:r>
            <w:r w:rsidRPr="00B7392E">
              <w:rPr>
                <w:sz w:val="24"/>
                <w:szCs w:val="24"/>
              </w:rPr>
              <w:t xml:space="preserve">оборота общественного питания </w:t>
            </w:r>
          </w:p>
          <w:p w:rsidR="004A317D" w:rsidRPr="009679DE" w:rsidRDefault="004A317D" w:rsidP="004A317D">
            <w:pPr>
              <w:jc w:val="both"/>
              <w:rPr>
                <w:sz w:val="24"/>
                <w:szCs w:val="24"/>
              </w:rPr>
            </w:pPr>
            <w:r w:rsidRPr="00987AA1">
              <w:rPr>
                <w:spacing w:val="-4"/>
                <w:sz w:val="24"/>
                <w:szCs w:val="24"/>
              </w:rPr>
              <w:t xml:space="preserve">(по крупным и средним </w:t>
            </w:r>
            <w:r>
              <w:rPr>
                <w:spacing w:val="-4"/>
                <w:sz w:val="24"/>
                <w:szCs w:val="24"/>
              </w:rPr>
              <w:t>организациям</w:t>
            </w:r>
            <w:r w:rsidRPr="00987AA1">
              <w:rPr>
                <w:spacing w:val="-4"/>
                <w:sz w:val="24"/>
                <w:szCs w:val="24"/>
              </w:rPr>
              <w:t>)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987AA1">
              <w:rPr>
                <w:i/>
                <w:sz w:val="24"/>
                <w:szCs w:val="24"/>
              </w:rPr>
              <w:t xml:space="preserve">в </w:t>
            </w:r>
            <w:r>
              <w:rPr>
                <w:i/>
                <w:sz w:val="24"/>
                <w:szCs w:val="24"/>
              </w:rPr>
              <w:t>действующих</w:t>
            </w:r>
            <w:r w:rsidRPr="00987AA1">
              <w:rPr>
                <w:i/>
                <w:sz w:val="24"/>
                <w:szCs w:val="24"/>
              </w:rPr>
              <w:t xml:space="preserve"> ценах</w:t>
            </w:r>
          </w:p>
        </w:tc>
        <w:tc>
          <w:tcPr>
            <w:tcW w:w="1134" w:type="dxa"/>
            <w:shd w:val="clear" w:color="auto" w:fill="FFFFFF" w:themeFill="background1"/>
          </w:tcPr>
          <w:p w:rsidR="004A317D" w:rsidRPr="00635EC8" w:rsidRDefault="004A317D" w:rsidP="009344D9">
            <w:pPr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</w:p>
          <w:p w:rsidR="004A317D" w:rsidRPr="00635EC8" w:rsidRDefault="004A317D" w:rsidP="009344D9">
            <w:pPr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110,4</w:t>
            </w:r>
          </w:p>
        </w:tc>
        <w:tc>
          <w:tcPr>
            <w:tcW w:w="1701" w:type="dxa"/>
          </w:tcPr>
          <w:p w:rsidR="004A317D" w:rsidRPr="00843BCE" w:rsidRDefault="004A317D" w:rsidP="009344D9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4A317D" w:rsidRPr="00843BCE" w:rsidRDefault="004A317D" w:rsidP="009344D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</w:tr>
      <w:tr w:rsidR="004A317D" w:rsidRPr="00987AA1" w:rsidTr="004A317D">
        <w:tc>
          <w:tcPr>
            <w:tcW w:w="426" w:type="dxa"/>
          </w:tcPr>
          <w:p w:rsidR="004A317D" w:rsidRPr="00B7392E" w:rsidRDefault="004A317D" w:rsidP="004A317D">
            <w:pPr>
              <w:pStyle w:val="ad"/>
              <w:numPr>
                <w:ilvl w:val="0"/>
                <w:numId w:val="2"/>
              </w:numPr>
              <w:ind w:left="0" w:firstLine="34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4A317D" w:rsidRDefault="004A317D" w:rsidP="004A317D">
            <w:pPr>
              <w:jc w:val="both"/>
              <w:rPr>
                <w:sz w:val="24"/>
                <w:szCs w:val="24"/>
              </w:rPr>
            </w:pPr>
            <w:r w:rsidRPr="00987AA1">
              <w:rPr>
                <w:sz w:val="24"/>
                <w:szCs w:val="24"/>
              </w:rPr>
              <w:t>Темп роста объема платных услуг</w:t>
            </w:r>
            <w:r>
              <w:rPr>
                <w:sz w:val="24"/>
                <w:szCs w:val="24"/>
              </w:rPr>
              <w:t xml:space="preserve"> населению</w:t>
            </w:r>
          </w:p>
          <w:p w:rsidR="004A317D" w:rsidRPr="001A7BB3" w:rsidRDefault="004A317D" w:rsidP="004A317D">
            <w:pPr>
              <w:ind w:right="-108"/>
              <w:jc w:val="both"/>
              <w:rPr>
                <w:sz w:val="10"/>
                <w:szCs w:val="10"/>
              </w:rPr>
            </w:pPr>
            <w:r w:rsidRPr="00987AA1">
              <w:rPr>
                <w:spacing w:val="-4"/>
                <w:sz w:val="24"/>
                <w:szCs w:val="24"/>
              </w:rPr>
              <w:t xml:space="preserve">(по крупным и средним </w:t>
            </w:r>
            <w:r>
              <w:rPr>
                <w:spacing w:val="-4"/>
                <w:sz w:val="24"/>
                <w:szCs w:val="24"/>
              </w:rPr>
              <w:t>организациям</w:t>
            </w:r>
            <w:r w:rsidRPr="00987AA1">
              <w:rPr>
                <w:spacing w:val="-4"/>
                <w:sz w:val="24"/>
                <w:szCs w:val="24"/>
              </w:rPr>
              <w:t>)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987AA1">
              <w:rPr>
                <w:i/>
                <w:sz w:val="24"/>
                <w:szCs w:val="24"/>
              </w:rPr>
              <w:t xml:space="preserve">в </w:t>
            </w:r>
            <w:r>
              <w:rPr>
                <w:i/>
                <w:sz w:val="24"/>
                <w:szCs w:val="24"/>
              </w:rPr>
              <w:t xml:space="preserve">действующих </w:t>
            </w:r>
            <w:r w:rsidRPr="00987AA1">
              <w:rPr>
                <w:i/>
                <w:sz w:val="24"/>
                <w:szCs w:val="24"/>
              </w:rPr>
              <w:t>ценах</w:t>
            </w:r>
            <w:r w:rsidRPr="001A7BB3">
              <w:rPr>
                <w:sz w:val="10"/>
                <w:szCs w:val="1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4A317D" w:rsidRPr="00635EC8" w:rsidRDefault="004A317D" w:rsidP="009344D9">
            <w:pPr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</w:p>
          <w:p w:rsidR="004A317D" w:rsidRPr="00635EC8" w:rsidRDefault="004A317D" w:rsidP="009344D9">
            <w:pPr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106,9</w:t>
            </w:r>
          </w:p>
        </w:tc>
        <w:tc>
          <w:tcPr>
            <w:tcW w:w="1701" w:type="dxa"/>
            <w:shd w:val="clear" w:color="auto" w:fill="FFFFFF" w:themeFill="background1"/>
          </w:tcPr>
          <w:p w:rsidR="004A317D" w:rsidRPr="00843BCE" w:rsidRDefault="004A317D" w:rsidP="009344D9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4A317D" w:rsidRPr="00843BCE" w:rsidRDefault="004A317D" w:rsidP="009344D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107,8</w:t>
            </w:r>
          </w:p>
        </w:tc>
      </w:tr>
      <w:tr w:rsidR="004A317D" w:rsidRPr="00987AA1" w:rsidTr="004A317D">
        <w:tc>
          <w:tcPr>
            <w:tcW w:w="426" w:type="dxa"/>
          </w:tcPr>
          <w:p w:rsidR="004A317D" w:rsidRPr="00987AA1" w:rsidRDefault="004A317D" w:rsidP="004A317D">
            <w:pPr>
              <w:pStyle w:val="ad"/>
              <w:numPr>
                <w:ilvl w:val="0"/>
                <w:numId w:val="2"/>
              </w:numPr>
              <w:ind w:left="0" w:firstLine="34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4A317D" w:rsidRDefault="004A317D" w:rsidP="004A317D">
            <w:pPr>
              <w:ind w:right="-108"/>
              <w:jc w:val="both"/>
              <w:rPr>
                <w:sz w:val="24"/>
                <w:szCs w:val="24"/>
              </w:rPr>
            </w:pPr>
            <w:r w:rsidRPr="00987AA1">
              <w:rPr>
                <w:sz w:val="24"/>
                <w:szCs w:val="24"/>
              </w:rPr>
              <w:t xml:space="preserve">Темп роста среднемесячной заработной платы работников </w:t>
            </w:r>
          </w:p>
          <w:p w:rsidR="004A317D" w:rsidRPr="00A04120" w:rsidRDefault="004A317D" w:rsidP="004A317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654213">
              <w:rPr>
                <w:sz w:val="24"/>
                <w:szCs w:val="24"/>
              </w:rPr>
              <w:t xml:space="preserve">по </w:t>
            </w:r>
            <w:r w:rsidRPr="00987AA1">
              <w:rPr>
                <w:spacing w:val="-4"/>
                <w:sz w:val="24"/>
                <w:szCs w:val="24"/>
              </w:rPr>
              <w:t xml:space="preserve">крупным и средним </w:t>
            </w:r>
            <w:r>
              <w:rPr>
                <w:spacing w:val="-4"/>
                <w:sz w:val="24"/>
                <w:szCs w:val="24"/>
              </w:rPr>
              <w:t>организациям</w:t>
            </w:r>
            <w:r w:rsidR="009F146A">
              <w:rPr>
                <w:spacing w:val="-4"/>
                <w:sz w:val="24"/>
                <w:szCs w:val="24"/>
              </w:rPr>
              <w:t>)</w:t>
            </w:r>
            <w:r w:rsidRPr="004A76DD">
              <w:rPr>
                <w:b/>
                <w:i/>
                <w:sz w:val="24"/>
                <w:szCs w:val="24"/>
              </w:rPr>
              <w:t xml:space="preserve"> </w:t>
            </w:r>
            <w:r w:rsidRPr="00357253">
              <w:rPr>
                <w:i/>
                <w:sz w:val="24"/>
                <w:szCs w:val="24"/>
              </w:rPr>
              <w:t>за январь</w:t>
            </w:r>
            <w:r>
              <w:rPr>
                <w:i/>
                <w:sz w:val="24"/>
                <w:szCs w:val="24"/>
              </w:rPr>
              <w:t>-март</w:t>
            </w:r>
            <w:r w:rsidR="00012F33">
              <w:rPr>
                <w:i/>
                <w:sz w:val="24"/>
                <w:szCs w:val="24"/>
              </w:rPr>
              <w:t xml:space="preserve"> </w:t>
            </w:r>
            <w:r w:rsidRPr="00357253">
              <w:rPr>
                <w:i/>
                <w:sz w:val="24"/>
                <w:szCs w:val="24"/>
              </w:rPr>
              <w:t>201</w:t>
            </w:r>
            <w:r>
              <w:rPr>
                <w:i/>
                <w:sz w:val="24"/>
                <w:szCs w:val="24"/>
              </w:rPr>
              <w:t xml:space="preserve">6 </w:t>
            </w:r>
            <w:r w:rsidRPr="00357253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1134" w:type="dxa"/>
            <w:vAlign w:val="center"/>
          </w:tcPr>
          <w:p w:rsidR="004A317D" w:rsidRPr="00635EC8" w:rsidRDefault="004A317D" w:rsidP="009344D9">
            <w:pPr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</w:p>
          <w:p w:rsidR="004A317D" w:rsidRPr="00635EC8" w:rsidRDefault="004A317D" w:rsidP="009344D9">
            <w:pPr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103,7</w:t>
            </w:r>
          </w:p>
        </w:tc>
        <w:tc>
          <w:tcPr>
            <w:tcW w:w="1701" w:type="dxa"/>
            <w:vAlign w:val="center"/>
          </w:tcPr>
          <w:p w:rsidR="004A317D" w:rsidRPr="00635EC8" w:rsidRDefault="004A317D" w:rsidP="009344D9">
            <w:pPr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</w:p>
          <w:p w:rsidR="004A317D" w:rsidRPr="00635EC8" w:rsidRDefault="004A317D" w:rsidP="009344D9">
            <w:pPr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 w:rsidRPr="00FF5761">
              <w:rPr>
                <w:sz w:val="24"/>
                <w:szCs w:val="24"/>
              </w:rPr>
              <w:t>104,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8203FD" w:rsidRPr="004A1B86" w:rsidRDefault="008203FD" w:rsidP="009344D9">
      <w:pPr>
        <w:ind w:right="-306"/>
        <w:rPr>
          <w:b/>
          <w:sz w:val="16"/>
          <w:szCs w:val="16"/>
        </w:rPr>
      </w:pPr>
    </w:p>
    <w:p w:rsidR="002906C1" w:rsidRPr="009344D9" w:rsidRDefault="002906C1" w:rsidP="00755462">
      <w:pPr>
        <w:ind w:right="-307"/>
        <w:jc w:val="center"/>
        <w:rPr>
          <w:b/>
          <w:sz w:val="10"/>
          <w:szCs w:val="10"/>
        </w:rPr>
      </w:pPr>
    </w:p>
    <w:p w:rsidR="00A4597F" w:rsidRDefault="004A317D" w:rsidP="00755462">
      <w:pPr>
        <w:ind w:right="-307"/>
        <w:jc w:val="center"/>
        <w:rPr>
          <w:b/>
          <w:sz w:val="24"/>
          <w:szCs w:val="24"/>
        </w:rPr>
      </w:pPr>
      <w:r w:rsidRPr="00963B6B">
        <w:rPr>
          <w:b/>
          <w:sz w:val="24"/>
          <w:szCs w:val="24"/>
        </w:rPr>
        <w:t>Промышленность</w:t>
      </w:r>
    </w:p>
    <w:p w:rsidR="004A317D" w:rsidRPr="009344D9" w:rsidRDefault="004A317D" w:rsidP="00755462">
      <w:pPr>
        <w:ind w:right="-307"/>
        <w:jc w:val="center"/>
        <w:rPr>
          <w:b/>
          <w:sz w:val="10"/>
          <w:szCs w:val="10"/>
        </w:rPr>
      </w:pPr>
    </w:p>
    <w:p w:rsidR="00A4597F" w:rsidRDefault="00A4597F" w:rsidP="002906C1">
      <w:pPr>
        <w:ind w:right="-1" w:firstLine="851"/>
        <w:jc w:val="both"/>
        <w:rPr>
          <w:sz w:val="24"/>
          <w:szCs w:val="24"/>
        </w:rPr>
      </w:pPr>
      <w:r w:rsidRPr="0071147C">
        <w:rPr>
          <w:sz w:val="24"/>
          <w:szCs w:val="24"/>
        </w:rPr>
        <w:t xml:space="preserve">Индекс промышленного производства по полному кругу </w:t>
      </w:r>
      <w:r w:rsidR="002F4CB8">
        <w:rPr>
          <w:sz w:val="24"/>
          <w:szCs w:val="24"/>
        </w:rPr>
        <w:t xml:space="preserve">организаций </w:t>
      </w:r>
      <w:r w:rsidRPr="0071147C">
        <w:rPr>
          <w:sz w:val="24"/>
          <w:szCs w:val="24"/>
        </w:rPr>
        <w:t xml:space="preserve">составил </w:t>
      </w:r>
      <w:r w:rsidR="00C13F93" w:rsidRPr="0071147C">
        <w:rPr>
          <w:sz w:val="24"/>
          <w:szCs w:val="24"/>
        </w:rPr>
        <w:t>99,5</w:t>
      </w:r>
      <w:r w:rsidRPr="0071147C">
        <w:rPr>
          <w:sz w:val="24"/>
          <w:szCs w:val="24"/>
        </w:rPr>
        <w:t xml:space="preserve">%, </w:t>
      </w:r>
      <w:r w:rsidR="002F4CB8">
        <w:rPr>
          <w:sz w:val="24"/>
          <w:szCs w:val="24"/>
        </w:rPr>
        <w:t xml:space="preserve">      </w:t>
      </w:r>
      <w:r w:rsidRPr="0071147C">
        <w:rPr>
          <w:sz w:val="24"/>
          <w:szCs w:val="24"/>
        </w:rPr>
        <w:t xml:space="preserve">в том числе обрабатывающие производства – </w:t>
      </w:r>
      <w:r w:rsidR="0071147C" w:rsidRPr="0071147C">
        <w:rPr>
          <w:sz w:val="24"/>
          <w:szCs w:val="24"/>
        </w:rPr>
        <w:t>97,8</w:t>
      </w:r>
      <w:r w:rsidRPr="0071147C">
        <w:rPr>
          <w:sz w:val="24"/>
          <w:szCs w:val="24"/>
        </w:rPr>
        <w:t xml:space="preserve">%, производство и распределение электроэнергии, газа и воды – </w:t>
      </w:r>
      <w:r w:rsidR="0071147C" w:rsidRPr="0071147C">
        <w:rPr>
          <w:sz w:val="24"/>
          <w:szCs w:val="24"/>
        </w:rPr>
        <w:t>106</w:t>
      </w:r>
      <w:r w:rsidRPr="0071147C">
        <w:rPr>
          <w:sz w:val="24"/>
          <w:szCs w:val="24"/>
        </w:rPr>
        <w:t xml:space="preserve">%. По сравнению с </w:t>
      </w:r>
      <w:r w:rsidR="00012F33">
        <w:rPr>
          <w:sz w:val="24"/>
          <w:szCs w:val="24"/>
        </w:rPr>
        <w:t>мартом текущего года</w:t>
      </w:r>
      <w:r w:rsidRPr="0071147C">
        <w:rPr>
          <w:sz w:val="24"/>
          <w:szCs w:val="24"/>
        </w:rPr>
        <w:t xml:space="preserve"> зафиксировано </w:t>
      </w:r>
      <w:r w:rsidR="0071147C" w:rsidRPr="0071147C">
        <w:rPr>
          <w:sz w:val="24"/>
          <w:szCs w:val="24"/>
        </w:rPr>
        <w:t>сниж</w:t>
      </w:r>
      <w:r w:rsidRPr="0071147C">
        <w:rPr>
          <w:sz w:val="24"/>
          <w:szCs w:val="24"/>
        </w:rPr>
        <w:t xml:space="preserve">ение индекса промышленного производства на </w:t>
      </w:r>
      <w:r w:rsidR="0071147C" w:rsidRPr="0071147C">
        <w:rPr>
          <w:sz w:val="24"/>
          <w:szCs w:val="24"/>
        </w:rPr>
        <w:t>5</w:t>
      </w:r>
      <w:r w:rsidRPr="0071147C">
        <w:rPr>
          <w:sz w:val="24"/>
          <w:szCs w:val="24"/>
        </w:rPr>
        <w:t xml:space="preserve"> п.п.</w:t>
      </w:r>
      <w:r w:rsidRPr="00755462">
        <w:rPr>
          <w:sz w:val="24"/>
          <w:szCs w:val="24"/>
        </w:rPr>
        <w:t xml:space="preserve"> </w:t>
      </w:r>
    </w:p>
    <w:p w:rsidR="00C434B1" w:rsidRPr="00165121" w:rsidRDefault="00C434B1" w:rsidP="00E76903">
      <w:pPr>
        <w:ind w:right="-307" w:firstLine="851"/>
        <w:jc w:val="both"/>
        <w:rPr>
          <w:sz w:val="16"/>
          <w:szCs w:val="16"/>
        </w:rPr>
      </w:pPr>
    </w:p>
    <w:p w:rsidR="00C434B1" w:rsidRPr="00B315E0" w:rsidRDefault="00C434B1" w:rsidP="00C434B1">
      <w:pPr>
        <w:pStyle w:val="ab"/>
        <w:ind w:firstLine="567"/>
        <w:jc w:val="center"/>
      </w:pPr>
      <w:r w:rsidRPr="00FC310E">
        <w:t>Индек</w:t>
      </w:r>
      <w:r>
        <w:t>с промышленного производства</w:t>
      </w:r>
      <w:r w:rsidRPr="00FC310E">
        <w:t>, %</w:t>
      </w:r>
    </w:p>
    <w:p w:rsidR="00C434B1" w:rsidRPr="009344D9" w:rsidRDefault="0071147C" w:rsidP="009344D9">
      <w:pPr>
        <w:ind w:left="-284" w:right="-307"/>
        <w:jc w:val="center"/>
      </w:pPr>
      <w:r w:rsidRPr="0071147C">
        <w:rPr>
          <w:noProof/>
          <w:lang w:eastAsia="ru-RU"/>
        </w:rPr>
        <w:drawing>
          <wp:inline distT="0" distB="0" distL="0" distR="0">
            <wp:extent cx="4587455" cy="1595886"/>
            <wp:effectExtent l="19050" t="0" r="0" b="0"/>
            <wp:docPr id="1" name="Объект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5462" w:rsidRPr="00C434B1" w:rsidRDefault="00A4597F" w:rsidP="00E76903">
      <w:pPr>
        <w:ind w:right="-307"/>
        <w:jc w:val="center"/>
        <w:rPr>
          <w:sz w:val="24"/>
          <w:szCs w:val="24"/>
        </w:rPr>
      </w:pPr>
      <w:r w:rsidRPr="00C434B1">
        <w:rPr>
          <w:sz w:val="24"/>
          <w:szCs w:val="24"/>
        </w:rPr>
        <w:t>Индексы промышленного производства за январь-</w:t>
      </w:r>
      <w:r w:rsidR="00E76903" w:rsidRPr="00C434B1">
        <w:rPr>
          <w:sz w:val="24"/>
          <w:szCs w:val="24"/>
        </w:rPr>
        <w:t>апре</w:t>
      </w:r>
      <w:r w:rsidRPr="00C434B1">
        <w:rPr>
          <w:sz w:val="24"/>
          <w:szCs w:val="24"/>
        </w:rPr>
        <w:t xml:space="preserve">ль по районам города </w:t>
      </w:r>
    </w:p>
    <w:p w:rsidR="005F64E4" w:rsidRPr="00524C3E" w:rsidRDefault="00A4597F" w:rsidP="00524C3E">
      <w:pPr>
        <w:ind w:right="-307"/>
        <w:jc w:val="center"/>
        <w:rPr>
          <w:sz w:val="24"/>
          <w:szCs w:val="24"/>
        </w:rPr>
      </w:pPr>
      <w:r w:rsidRPr="00C434B1">
        <w:rPr>
          <w:sz w:val="24"/>
          <w:szCs w:val="24"/>
        </w:rPr>
        <w:t>(полный круг организаций), %</w:t>
      </w:r>
    </w:p>
    <w:p w:rsidR="00165121" w:rsidRDefault="002F4CB8" w:rsidP="00C67734">
      <w:pPr>
        <w:ind w:left="-284" w:right="-307"/>
        <w:jc w:val="center"/>
        <w:rPr>
          <w:b/>
          <w:i/>
        </w:rPr>
      </w:pPr>
      <w:r w:rsidRPr="00C434B1">
        <w:rPr>
          <w:b/>
          <w:i/>
          <w:noProof/>
          <w:lang w:eastAsia="ru-RU"/>
        </w:rPr>
        <w:drawing>
          <wp:inline distT="0" distB="0" distL="0" distR="0">
            <wp:extent cx="5410200" cy="1733550"/>
            <wp:effectExtent l="0" t="0" r="0" b="0"/>
            <wp:docPr id="2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344D9" w:rsidRDefault="009344D9" w:rsidP="009344D9">
      <w:pPr>
        <w:rPr>
          <w:b/>
          <w:sz w:val="24"/>
          <w:szCs w:val="24"/>
        </w:rPr>
      </w:pPr>
    </w:p>
    <w:p w:rsidR="00524C3E" w:rsidRPr="004A317D" w:rsidRDefault="004A317D" w:rsidP="004A317D">
      <w:pPr>
        <w:jc w:val="center"/>
        <w:rPr>
          <w:b/>
          <w:sz w:val="24"/>
          <w:szCs w:val="24"/>
        </w:rPr>
      </w:pPr>
      <w:r w:rsidRPr="00885C24">
        <w:rPr>
          <w:b/>
          <w:sz w:val="24"/>
          <w:szCs w:val="24"/>
        </w:rPr>
        <w:t xml:space="preserve">Инвестиции </w:t>
      </w:r>
      <w:r>
        <w:rPr>
          <w:b/>
          <w:sz w:val="24"/>
          <w:szCs w:val="24"/>
        </w:rPr>
        <w:t>и строительство</w:t>
      </w:r>
    </w:p>
    <w:p w:rsidR="005F64E4" w:rsidRPr="004A317D" w:rsidRDefault="005F64E4" w:rsidP="00757F15">
      <w:pPr>
        <w:ind w:right="-307"/>
        <w:jc w:val="center"/>
        <w:rPr>
          <w:sz w:val="16"/>
          <w:szCs w:val="16"/>
        </w:rPr>
      </w:pPr>
    </w:p>
    <w:p w:rsidR="00012F33" w:rsidRDefault="005F64E4" w:rsidP="00EE7913">
      <w:pPr>
        <w:ind w:right="-1" w:firstLine="851"/>
        <w:jc w:val="both"/>
        <w:rPr>
          <w:sz w:val="24"/>
          <w:szCs w:val="24"/>
        </w:rPr>
      </w:pPr>
      <w:r w:rsidRPr="00D40335">
        <w:rPr>
          <w:sz w:val="24"/>
          <w:szCs w:val="24"/>
        </w:rPr>
        <w:t>В текущем году на реализацию адресной инвестиционной программы (АИП) в бюджете города предусмотрено 649,8 мл</w:t>
      </w:r>
      <w:r w:rsidR="00D40335">
        <w:rPr>
          <w:sz w:val="24"/>
          <w:szCs w:val="24"/>
        </w:rPr>
        <w:t xml:space="preserve">н. рублей. </w:t>
      </w:r>
      <w:r w:rsidR="00164E4C">
        <w:rPr>
          <w:sz w:val="24"/>
          <w:szCs w:val="24"/>
        </w:rPr>
        <w:t>По состоянию на 01.05</w:t>
      </w:r>
      <w:r w:rsidR="00164E4C" w:rsidRPr="00D40335">
        <w:rPr>
          <w:sz w:val="24"/>
          <w:szCs w:val="24"/>
        </w:rPr>
        <w:t xml:space="preserve">.2016 </w:t>
      </w:r>
      <w:r w:rsidR="00164E4C">
        <w:rPr>
          <w:sz w:val="24"/>
          <w:szCs w:val="24"/>
        </w:rPr>
        <w:t xml:space="preserve">АИП профинансирована </w:t>
      </w:r>
      <w:r w:rsidR="00164E4C" w:rsidRPr="00D40335">
        <w:rPr>
          <w:sz w:val="24"/>
          <w:szCs w:val="24"/>
        </w:rPr>
        <w:t xml:space="preserve">в объеме </w:t>
      </w:r>
      <w:r w:rsidR="00164E4C">
        <w:rPr>
          <w:sz w:val="24"/>
          <w:szCs w:val="24"/>
        </w:rPr>
        <w:t>153,2</w:t>
      </w:r>
      <w:r w:rsidR="00164E4C" w:rsidRPr="00D40335">
        <w:rPr>
          <w:sz w:val="24"/>
          <w:szCs w:val="24"/>
        </w:rPr>
        <w:t xml:space="preserve"> млн. рублей или </w:t>
      </w:r>
      <w:r w:rsidR="00164E4C">
        <w:rPr>
          <w:sz w:val="24"/>
          <w:szCs w:val="24"/>
        </w:rPr>
        <w:t>22,7% от годового лимита (на 01.05</w:t>
      </w:r>
      <w:r w:rsidR="00164E4C" w:rsidRPr="00D40335">
        <w:rPr>
          <w:sz w:val="24"/>
          <w:szCs w:val="24"/>
        </w:rPr>
        <w:t xml:space="preserve">.2015 – </w:t>
      </w:r>
      <w:r w:rsidR="00164E4C">
        <w:rPr>
          <w:sz w:val="24"/>
          <w:szCs w:val="24"/>
        </w:rPr>
        <w:t>117,7</w:t>
      </w:r>
      <w:r w:rsidR="00164E4C" w:rsidRPr="00D40335">
        <w:rPr>
          <w:sz w:val="24"/>
          <w:szCs w:val="24"/>
        </w:rPr>
        <w:t xml:space="preserve"> млн. рублей</w:t>
      </w:r>
      <w:r w:rsidR="00164E4C">
        <w:rPr>
          <w:sz w:val="24"/>
          <w:szCs w:val="24"/>
        </w:rPr>
        <w:t xml:space="preserve"> или </w:t>
      </w:r>
      <w:r w:rsidR="00164E4C">
        <w:rPr>
          <w:sz w:val="24"/>
          <w:szCs w:val="24"/>
        </w:rPr>
        <w:lastRenderedPageBreak/>
        <w:t>10,4% соответственно), в том числе</w:t>
      </w:r>
      <w:r w:rsidR="00164E4C" w:rsidRPr="00D40335">
        <w:rPr>
          <w:sz w:val="24"/>
          <w:szCs w:val="24"/>
        </w:rPr>
        <w:t xml:space="preserve"> </w:t>
      </w:r>
      <w:r w:rsidR="001F28FF">
        <w:rPr>
          <w:sz w:val="24"/>
          <w:szCs w:val="24"/>
        </w:rPr>
        <w:t>из бюджета города</w:t>
      </w:r>
      <w:r w:rsidR="00012F33" w:rsidRPr="00D40335">
        <w:rPr>
          <w:sz w:val="24"/>
          <w:szCs w:val="24"/>
        </w:rPr>
        <w:t xml:space="preserve"> </w:t>
      </w:r>
      <w:r w:rsidR="001F28FF">
        <w:rPr>
          <w:sz w:val="24"/>
          <w:szCs w:val="24"/>
        </w:rPr>
        <w:t>выде</w:t>
      </w:r>
      <w:r w:rsidR="00012F33">
        <w:rPr>
          <w:sz w:val="24"/>
          <w:szCs w:val="24"/>
        </w:rPr>
        <w:t>лено 130,7</w:t>
      </w:r>
      <w:r w:rsidR="00012F33" w:rsidRPr="00D40335">
        <w:rPr>
          <w:sz w:val="24"/>
          <w:szCs w:val="24"/>
        </w:rPr>
        <w:t xml:space="preserve"> млн. рублей, </w:t>
      </w:r>
      <w:r w:rsidR="001F28FF">
        <w:rPr>
          <w:sz w:val="24"/>
          <w:szCs w:val="24"/>
        </w:rPr>
        <w:t xml:space="preserve">поступления </w:t>
      </w:r>
      <w:r w:rsidR="00012F33">
        <w:rPr>
          <w:sz w:val="24"/>
          <w:szCs w:val="24"/>
        </w:rPr>
        <w:t xml:space="preserve">из краевого бюджета </w:t>
      </w:r>
      <w:r w:rsidR="001F28FF">
        <w:rPr>
          <w:sz w:val="24"/>
          <w:szCs w:val="24"/>
        </w:rPr>
        <w:t>составили</w:t>
      </w:r>
      <w:r w:rsidR="00012F33">
        <w:rPr>
          <w:sz w:val="24"/>
          <w:szCs w:val="24"/>
        </w:rPr>
        <w:t xml:space="preserve"> 22,5</w:t>
      </w:r>
      <w:r w:rsidR="00012F33" w:rsidRPr="00D40335">
        <w:rPr>
          <w:sz w:val="24"/>
          <w:szCs w:val="24"/>
        </w:rPr>
        <w:t xml:space="preserve"> млн. рублей.</w:t>
      </w:r>
      <w:r w:rsidR="001F28FF" w:rsidRPr="001F28FF">
        <w:rPr>
          <w:sz w:val="24"/>
          <w:szCs w:val="24"/>
        </w:rPr>
        <w:t xml:space="preserve"> </w:t>
      </w:r>
    </w:p>
    <w:p w:rsidR="007F7761" w:rsidRDefault="007F7761" w:rsidP="00D32B22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сфере строительства введено</w:t>
      </w:r>
      <w:r w:rsidR="00012F33">
        <w:rPr>
          <w:sz w:val="24"/>
          <w:szCs w:val="24"/>
        </w:rPr>
        <w:t xml:space="preserve"> </w:t>
      </w:r>
      <w:r w:rsidR="004F41F3">
        <w:rPr>
          <w:sz w:val="24"/>
          <w:szCs w:val="24"/>
        </w:rPr>
        <w:t>171 тыс. кв.</w:t>
      </w:r>
      <w:r>
        <w:rPr>
          <w:sz w:val="24"/>
          <w:szCs w:val="24"/>
        </w:rPr>
        <w:t>м жилья</w:t>
      </w:r>
      <w:r w:rsidR="00F52E93">
        <w:rPr>
          <w:sz w:val="24"/>
          <w:szCs w:val="24"/>
        </w:rPr>
        <w:t>,</w:t>
      </w:r>
      <w:r w:rsidR="00A4700B">
        <w:rPr>
          <w:sz w:val="24"/>
          <w:szCs w:val="24"/>
        </w:rPr>
        <w:t xml:space="preserve"> </w:t>
      </w:r>
      <w:r w:rsidR="00F52E93">
        <w:rPr>
          <w:sz w:val="24"/>
          <w:szCs w:val="24"/>
        </w:rPr>
        <w:t xml:space="preserve">в том числе индивидуального – </w:t>
      </w:r>
      <w:r w:rsidR="00A4700B">
        <w:rPr>
          <w:sz w:val="24"/>
          <w:szCs w:val="24"/>
        </w:rPr>
        <w:t xml:space="preserve">       </w:t>
      </w:r>
      <w:r w:rsidR="00164E4C">
        <w:rPr>
          <w:sz w:val="24"/>
          <w:szCs w:val="24"/>
        </w:rPr>
        <w:t>19 тыс. кв.</w:t>
      </w:r>
      <w:r w:rsidR="00F52E93">
        <w:rPr>
          <w:sz w:val="24"/>
          <w:szCs w:val="24"/>
        </w:rPr>
        <w:t xml:space="preserve">м  </w:t>
      </w:r>
      <w:r>
        <w:rPr>
          <w:sz w:val="24"/>
          <w:szCs w:val="24"/>
        </w:rPr>
        <w:t xml:space="preserve">(за январь-апрель 2015 г. </w:t>
      </w:r>
      <w:r w:rsidR="00F52E93">
        <w:rPr>
          <w:sz w:val="24"/>
          <w:szCs w:val="24"/>
        </w:rPr>
        <w:t>соответственно</w:t>
      </w:r>
      <w:r>
        <w:rPr>
          <w:sz w:val="24"/>
          <w:szCs w:val="24"/>
        </w:rPr>
        <w:t xml:space="preserve"> 192,8 тыс. кв.м</w:t>
      </w:r>
      <w:r w:rsidR="00F52E93">
        <w:rPr>
          <w:sz w:val="24"/>
          <w:szCs w:val="24"/>
        </w:rPr>
        <w:t xml:space="preserve"> и 41,1 тыс. кв.м).</w:t>
      </w:r>
    </w:p>
    <w:p w:rsidR="00F52E93" w:rsidRPr="00F52E93" w:rsidRDefault="00F52E93" w:rsidP="00D32B22">
      <w:pPr>
        <w:ind w:right="-1" w:firstLine="851"/>
        <w:jc w:val="both"/>
        <w:rPr>
          <w:sz w:val="16"/>
          <w:szCs w:val="16"/>
        </w:rPr>
      </w:pPr>
    </w:p>
    <w:p w:rsidR="00FC5F26" w:rsidRDefault="00F52E93" w:rsidP="00F52E93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Ввод в действие общей площади жилых домов, тыс. кв. метров</w:t>
      </w:r>
    </w:p>
    <w:p w:rsidR="00A4700B" w:rsidRPr="00A4700B" w:rsidRDefault="00A4700B" w:rsidP="00F52E93">
      <w:pPr>
        <w:ind w:right="-1"/>
        <w:jc w:val="both"/>
        <w:rPr>
          <w:sz w:val="10"/>
          <w:szCs w:val="10"/>
        </w:rPr>
      </w:pPr>
    </w:p>
    <w:tbl>
      <w:tblPr>
        <w:tblStyle w:val="a5"/>
        <w:tblW w:w="0" w:type="auto"/>
        <w:tblInd w:w="3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</w:tblGrid>
      <w:tr w:rsidR="00FC5F26" w:rsidTr="00294578">
        <w:tc>
          <w:tcPr>
            <w:tcW w:w="4396" w:type="dxa"/>
          </w:tcPr>
          <w:p w:rsidR="00FC5F26" w:rsidRPr="00FC5F26" w:rsidRDefault="00194B3C" w:rsidP="00524C3E">
            <w:pPr>
              <w:tabs>
                <w:tab w:val="left" w:pos="1695"/>
              </w:tabs>
              <w:ind w:right="-307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36830</wp:posOffset>
                      </wp:positionV>
                      <wp:extent cx="104775" cy="104775"/>
                      <wp:effectExtent l="5715" t="5080" r="13335" b="1397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774EA" id="Rectangle 9" o:spid="_x0000_s1026" style="position:absolute;margin-left:108.45pt;margin-top:2.9pt;width:8.2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" fillcolor="#974706 [1609]" strokecolor="white [3212]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36830</wp:posOffset>
                      </wp:positionV>
                      <wp:extent cx="108585" cy="104775"/>
                      <wp:effectExtent l="8255" t="5080" r="6985" b="1397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9BCD4" id="Rectangle 8" o:spid="_x0000_s1026" style="position:absolute;margin-left:-6.85pt;margin-top:2.9pt;width:8.5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" fillcolor="#c0504d [3205]" strokecolor="white [3212]"/>
                  </w:pict>
                </mc:Fallback>
              </mc:AlternateContent>
            </w:r>
            <w:r w:rsidR="00524C3E">
              <w:rPr>
                <w:sz w:val="20"/>
                <w:szCs w:val="20"/>
              </w:rPr>
              <w:t xml:space="preserve"> </w:t>
            </w:r>
            <w:r w:rsidR="00FC5F26" w:rsidRPr="00FC5F26">
              <w:rPr>
                <w:sz w:val="20"/>
                <w:szCs w:val="20"/>
              </w:rPr>
              <w:t>всего жилья</w:t>
            </w:r>
            <w:r w:rsidR="00524C3E">
              <w:rPr>
                <w:sz w:val="20"/>
                <w:szCs w:val="20"/>
              </w:rPr>
              <w:t xml:space="preserve">        </w:t>
            </w:r>
            <w:r w:rsidR="00FC5F26">
              <w:rPr>
                <w:sz w:val="20"/>
                <w:szCs w:val="20"/>
              </w:rPr>
              <w:tab/>
            </w:r>
            <w:r w:rsidR="00524C3E">
              <w:rPr>
                <w:sz w:val="20"/>
                <w:szCs w:val="20"/>
              </w:rPr>
              <w:t xml:space="preserve">              </w:t>
            </w:r>
            <w:r w:rsidR="00FC5F26">
              <w:rPr>
                <w:sz w:val="20"/>
                <w:szCs w:val="20"/>
              </w:rPr>
              <w:t>индивидуального</w:t>
            </w:r>
          </w:p>
        </w:tc>
      </w:tr>
    </w:tbl>
    <w:p w:rsidR="00294578" w:rsidRPr="004F41F3" w:rsidRDefault="004A317D" w:rsidP="004F41F3">
      <w:pPr>
        <w:ind w:right="-1"/>
        <w:jc w:val="both"/>
        <w:rPr>
          <w:sz w:val="24"/>
          <w:szCs w:val="24"/>
        </w:rPr>
      </w:pPr>
      <w:r w:rsidRPr="004A317D">
        <w:rPr>
          <w:noProof/>
          <w:sz w:val="24"/>
          <w:szCs w:val="24"/>
          <w:lang w:eastAsia="ru-RU"/>
        </w:rPr>
        <w:drawing>
          <wp:inline distT="0" distB="0" distL="0" distR="0">
            <wp:extent cx="3124200" cy="1228725"/>
            <wp:effectExtent l="0" t="0" r="0" b="0"/>
            <wp:docPr id="5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557F71" w:rsidRPr="00557F71">
        <w:rPr>
          <w:noProof/>
          <w:sz w:val="24"/>
          <w:szCs w:val="24"/>
          <w:lang w:eastAsia="ru-RU"/>
        </w:rPr>
        <w:drawing>
          <wp:inline distT="0" distB="0" distL="0" distR="0">
            <wp:extent cx="3124200" cy="1257300"/>
            <wp:effectExtent l="0" t="0" r="0" b="0"/>
            <wp:docPr id="8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Style w:val="a5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402"/>
        <w:gridCol w:w="1134"/>
      </w:tblGrid>
      <w:tr w:rsidR="00294578" w:rsidRPr="004A317D" w:rsidTr="00012F33">
        <w:tc>
          <w:tcPr>
            <w:tcW w:w="2126" w:type="dxa"/>
          </w:tcPr>
          <w:p w:rsidR="00294578" w:rsidRPr="004A317D" w:rsidRDefault="00294578" w:rsidP="00012F33">
            <w:pPr>
              <w:ind w:right="-307"/>
              <w:rPr>
                <w:i/>
                <w:sz w:val="24"/>
                <w:szCs w:val="24"/>
              </w:rPr>
            </w:pPr>
            <w:r w:rsidRPr="004A317D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2015</w:t>
            </w:r>
            <w:r w:rsidRPr="004A317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402" w:type="dxa"/>
          </w:tcPr>
          <w:p w:rsidR="00294578" w:rsidRPr="00FC5F26" w:rsidRDefault="00294578" w:rsidP="00012F33">
            <w:pPr>
              <w:tabs>
                <w:tab w:val="left" w:pos="1695"/>
              </w:tabs>
              <w:ind w:right="-307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4578" w:rsidRPr="004A317D" w:rsidRDefault="00294578" w:rsidP="00012F33">
            <w:pPr>
              <w:ind w:right="-307"/>
              <w:rPr>
                <w:i/>
                <w:sz w:val="24"/>
                <w:szCs w:val="24"/>
              </w:rPr>
            </w:pPr>
            <w:r w:rsidRPr="004A31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2016</w:t>
            </w:r>
            <w:r w:rsidRPr="004A317D">
              <w:rPr>
                <w:sz w:val="20"/>
                <w:szCs w:val="20"/>
              </w:rPr>
              <w:t xml:space="preserve"> г.</w:t>
            </w:r>
          </w:p>
        </w:tc>
      </w:tr>
    </w:tbl>
    <w:p w:rsidR="00294578" w:rsidRPr="009F146A" w:rsidRDefault="00294578" w:rsidP="004A317D">
      <w:pPr>
        <w:pStyle w:val="ab"/>
        <w:jc w:val="center"/>
        <w:rPr>
          <w:b/>
          <w:bCs/>
          <w:sz w:val="16"/>
          <w:szCs w:val="16"/>
        </w:rPr>
      </w:pPr>
    </w:p>
    <w:p w:rsidR="004A317D" w:rsidRPr="004A317D" w:rsidRDefault="004A317D" w:rsidP="004A317D">
      <w:pPr>
        <w:pStyle w:val="ab"/>
        <w:jc w:val="center"/>
        <w:rPr>
          <w:b/>
          <w:bCs/>
        </w:rPr>
      </w:pPr>
      <w:r w:rsidRPr="00866D91">
        <w:rPr>
          <w:b/>
          <w:bCs/>
        </w:rPr>
        <w:t>Труд и</w:t>
      </w:r>
      <w:r w:rsidRPr="00866D91">
        <w:rPr>
          <w:b/>
        </w:rPr>
        <w:t xml:space="preserve"> </w:t>
      </w:r>
      <w:r w:rsidRPr="00866D91">
        <w:rPr>
          <w:b/>
          <w:bCs/>
        </w:rPr>
        <w:t>занятость населения</w:t>
      </w:r>
    </w:p>
    <w:p w:rsidR="00C53B80" w:rsidRPr="004A317D" w:rsidRDefault="00C53B80" w:rsidP="004A317D">
      <w:pPr>
        <w:ind w:right="-307"/>
        <w:rPr>
          <w:sz w:val="16"/>
          <w:szCs w:val="16"/>
        </w:rPr>
      </w:pPr>
    </w:p>
    <w:p w:rsidR="00084E29" w:rsidRDefault="00A67407" w:rsidP="00682429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C53B80" w:rsidRPr="00682429">
        <w:rPr>
          <w:sz w:val="24"/>
          <w:szCs w:val="24"/>
        </w:rPr>
        <w:t xml:space="preserve">ровень регистрируемой безработицы по отношению к численности трудоспособного населения </w:t>
      </w:r>
      <w:r>
        <w:rPr>
          <w:sz w:val="24"/>
          <w:szCs w:val="24"/>
        </w:rPr>
        <w:t xml:space="preserve">составил </w:t>
      </w:r>
      <w:r w:rsidR="00C53B80" w:rsidRPr="00682429">
        <w:rPr>
          <w:sz w:val="24"/>
          <w:szCs w:val="24"/>
        </w:rPr>
        <w:t>0,4%</w:t>
      </w:r>
      <w:r>
        <w:rPr>
          <w:sz w:val="24"/>
          <w:szCs w:val="24"/>
        </w:rPr>
        <w:t xml:space="preserve"> (на 01.05.2015 – 0,45%)</w:t>
      </w:r>
      <w:r w:rsidR="00C53B80" w:rsidRPr="00682429">
        <w:rPr>
          <w:sz w:val="24"/>
          <w:szCs w:val="24"/>
        </w:rPr>
        <w:t xml:space="preserve">, напряженность на рынке труда </w:t>
      </w:r>
      <w:r w:rsidRPr="00682429">
        <w:rPr>
          <w:sz w:val="24"/>
          <w:szCs w:val="24"/>
        </w:rPr>
        <w:t>сохранил</w:t>
      </w:r>
      <w:r>
        <w:rPr>
          <w:sz w:val="24"/>
          <w:szCs w:val="24"/>
        </w:rPr>
        <w:t>а</w:t>
      </w:r>
      <w:r w:rsidRPr="00682429">
        <w:rPr>
          <w:sz w:val="24"/>
          <w:szCs w:val="24"/>
        </w:rPr>
        <w:t xml:space="preserve">сь в границах значений соответствующего периода 2015 года </w:t>
      </w:r>
      <w:r w:rsidR="00C53B80" w:rsidRPr="00682429">
        <w:rPr>
          <w:sz w:val="24"/>
          <w:szCs w:val="24"/>
        </w:rPr>
        <w:t>– 0,3 человека на 1 вакансию.</w:t>
      </w:r>
    </w:p>
    <w:p w:rsidR="0057580C" w:rsidRDefault="00C53B80" w:rsidP="00682429">
      <w:pPr>
        <w:ind w:right="-1" w:firstLine="851"/>
        <w:jc w:val="both"/>
        <w:rPr>
          <w:sz w:val="24"/>
          <w:szCs w:val="24"/>
        </w:rPr>
      </w:pPr>
      <w:r w:rsidRPr="00682429">
        <w:rPr>
          <w:sz w:val="24"/>
          <w:szCs w:val="24"/>
        </w:rPr>
        <w:t xml:space="preserve"> Заработная плата по крупным и средним </w:t>
      </w:r>
      <w:r w:rsidR="00524C3E">
        <w:rPr>
          <w:sz w:val="24"/>
          <w:szCs w:val="24"/>
        </w:rPr>
        <w:t>организац</w:t>
      </w:r>
      <w:r w:rsidRPr="00682429">
        <w:rPr>
          <w:sz w:val="24"/>
          <w:szCs w:val="24"/>
        </w:rPr>
        <w:t>иям за январь</w:t>
      </w:r>
      <w:r w:rsidR="00A67407">
        <w:rPr>
          <w:sz w:val="24"/>
          <w:szCs w:val="24"/>
        </w:rPr>
        <w:t>-март</w:t>
      </w:r>
      <w:r w:rsidRPr="00682429">
        <w:rPr>
          <w:sz w:val="24"/>
          <w:szCs w:val="24"/>
        </w:rPr>
        <w:t xml:space="preserve"> 2016 года увеличилась на 3,</w:t>
      </w:r>
      <w:r w:rsidR="00A67407">
        <w:rPr>
          <w:sz w:val="24"/>
          <w:szCs w:val="24"/>
        </w:rPr>
        <w:t>7</w:t>
      </w:r>
      <w:r w:rsidRPr="00682429">
        <w:rPr>
          <w:sz w:val="24"/>
          <w:szCs w:val="24"/>
        </w:rPr>
        <w:t xml:space="preserve">% к январю 2015 года и составила </w:t>
      </w:r>
      <w:r w:rsidR="00A67407">
        <w:rPr>
          <w:sz w:val="24"/>
          <w:szCs w:val="24"/>
        </w:rPr>
        <w:t>26714</w:t>
      </w:r>
      <w:r w:rsidRPr="00682429">
        <w:rPr>
          <w:sz w:val="24"/>
          <w:szCs w:val="24"/>
        </w:rPr>
        <w:t xml:space="preserve"> рублей. </w:t>
      </w:r>
    </w:p>
    <w:p w:rsidR="00416F3C" w:rsidRDefault="00C53B80" w:rsidP="00CC5D73">
      <w:pPr>
        <w:ind w:right="-1" w:firstLine="851"/>
        <w:jc w:val="both"/>
        <w:rPr>
          <w:sz w:val="24"/>
          <w:szCs w:val="24"/>
        </w:rPr>
      </w:pPr>
      <w:r w:rsidRPr="00682429">
        <w:rPr>
          <w:sz w:val="24"/>
          <w:szCs w:val="24"/>
        </w:rPr>
        <w:t>П</w:t>
      </w:r>
      <w:r w:rsidR="0057580C">
        <w:rPr>
          <w:sz w:val="24"/>
          <w:szCs w:val="24"/>
        </w:rPr>
        <w:t>о данным Алтайкрайстата на 01.05</w:t>
      </w:r>
      <w:r w:rsidRPr="00682429">
        <w:rPr>
          <w:sz w:val="24"/>
          <w:szCs w:val="24"/>
        </w:rPr>
        <w:t xml:space="preserve">.2016 просроченная задолженность по заработной плате составила </w:t>
      </w:r>
      <w:r w:rsidR="0057580C">
        <w:rPr>
          <w:sz w:val="24"/>
          <w:szCs w:val="24"/>
        </w:rPr>
        <w:t>14,7</w:t>
      </w:r>
      <w:r w:rsidRPr="00682429">
        <w:rPr>
          <w:sz w:val="24"/>
          <w:szCs w:val="24"/>
        </w:rPr>
        <w:t xml:space="preserve"> млн. рублей в четырех организациях города (ОАО «Сибэнергомаш», </w:t>
      </w:r>
      <w:r w:rsidR="00C67734">
        <w:rPr>
          <w:sz w:val="24"/>
          <w:szCs w:val="24"/>
        </w:rPr>
        <w:t xml:space="preserve">         </w:t>
      </w:r>
      <w:r w:rsidRPr="00682429">
        <w:rPr>
          <w:sz w:val="24"/>
          <w:szCs w:val="24"/>
        </w:rPr>
        <w:t xml:space="preserve">ЗАО «Завод алюминиевого литья», ФГУП «Овощевод», </w:t>
      </w:r>
      <w:r w:rsidR="0057580C" w:rsidRPr="0057580C">
        <w:rPr>
          <w:rFonts w:eastAsia="Calibri"/>
          <w:sz w:val="24"/>
          <w:szCs w:val="24"/>
        </w:rPr>
        <w:t>ФГБНУ "НИИСС"</w:t>
      </w:r>
      <w:r w:rsidRPr="0057580C">
        <w:rPr>
          <w:sz w:val="24"/>
          <w:szCs w:val="24"/>
        </w:rPr>
        <w:t>)</w:t>
      </w:r>
      <w:r w:rsidR="00524C3E">
        <w:rPr>
          <w:sz w:val="24"/>
          <w:szCs w:val="24"/>
        </w:rPr>
        <w:t xml:space="preserve"> </w:t>
      </w:r>
      <w:r w:rsidRPr="00682429">
        <w:rPr>
          <w:sz w:val="24"/>
          <w:szCs w:val="24"/>
        </w:rPr>
        <w:t xml:space="preserve">перед </w:t>
      </w:r>
      <w:r w:rsidR="00C67734">
        <w:rPr>
          <w:sz w:val="24"/>
          <w:szCs w:val="24"/>
        </w:rPr>
        <w:t xml:space="preserve">                        </w:t>
      </w:r>
      <w:r w:rsidR="0057580C">
        <w:rPr>
          <w:sz w:val="24"/>
          <w:szCs w:val="24"/>
        </w:rPr>
        <w:t>526</w:t>
      </w:r>
      <w:r w:rsidRPr="00682429">
        <w:rPr>
          <w:sz w:val="24"/>
          <w:szCs w:val="24"/>
        </w:rPr>
        <w:t xml:space="preserve"> работниками.</w:t>
      </w:r>
    </w:p>
    <w:p w:rsidR="00A71564" w:rsidRPr="009344D9" w:rsidRDefault="00A71564" w:rsidP="00A71564">
      <w:pPr>
        <w:pStyle w:val="a9"/>
        <w:rPr>
          <w:b w:val="0"/>
          <w:sz w:val="10"/>
          <w:szCs w:val="10"/>
        </w:rPr>
      </w:pPr>
    </w:p>
    <w:p w:rsidR="00A71564" w:rsidRPr="00A71564" w:rsidRDefault="00A71564" w:rsidP="00A71564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F14485">
        <w:rPr>
          <w:b w:val="0"/>
          <w:sz w:val="24"/>
          <w:szCs w:val="24"/>
        </w:rPr>
        <w:t>росроченн</w:t>
      </w:r>
      <w:r>
        <w:rPr>
          <w:b w:val="0"/>
          <w:sz w:val="24"/>
          <w:szCs w:val="24"/>
        </w:rPr>
        <w:t>ая</w:t>
      </w:r>
      <w:r w:rsidRPr="00F14485">
        <w:rPr>
          <w:b w:val="0"/>
          <w:sz w:val="24"/>
          <w:szCs w:val="24"/>
        </w:rPr>
        <w:t xml:space="preserve"> задолженност</w:t>
      </w:r>
      <w:r>
        <w:rPr>
          <w:b w:val="0"/>
          <w:sz w:val="24"/>
          <w:szCs w:val="24"/>
        </w:rPr>
        <w:t>ь</w:t>
      </w:r>
      <w:r w:rsidRPr="00F14485">
        <w:rPr>
          <w:b w:val="0"/>
          <w:sz w:val="24"/>
          <w:szCs w:val="24"/>
        </w:rPr>
        <w:t xml:space="preserve"> по заработной плате, млн. рублей</w:t>
      </w:r>
    </w:p>
    <w:p w:rsidR="00504A25" w:rsidRPr="009344D9" w:rsidRDefault="00C67734" w:rsidP="009344D9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04A25">
        <w:rPr>
          <w:noProof/>
          <w:sz w:val="24"/>
          <w:szCs w:val="24"/>
          <w:lang w:eastAsia="ru-RU"/>
        </w:rPr>
        <w:drawing>
          <wp:inline distT="0" distB="0" distL="0" distR="0">
            <wp:extent cx="4972050" cy="1514475"/>
            <wp:effectExtent l="0" t="0" r="0" b="0"/>
            <wp:docPr id="18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sz w:val="24"/>
          <w:szCs w:val="24"/>
        </w:rPr>
        <w:t xml:space="preserve">           </w:t>
      </w:r>
      <w:r w:rsidR="00504A25">
        <w:rPr>
          <w:sz w:val="24"/>
          <w:szCs w:val="24"/>
        </w:rPr>
        <w:t xml:space="preserve">   </w:t>
      </w:r>
    </w:p>
    <w:p w:rsidR="004A317D" w:rsidRDefault="004A317D" w:rsidP="004A317D">
      <w:pPr>
        <w:pStyle w:val="3"/>
        <w:tabs>
          <w:tab w:val="left" w:pos="1418"/>
        </w:tabs>
        <w:spacing w:after="0"/>
        <w:ind w:left="0"/>
        <w:jc w:val="center"/>
        <w:rPr>
          <w:b/>
          <w:sz w:val="24"/>
          <w:szCs w:val="24"/>
        </w:rPr>
      </w:pPr>
      <w:r w:rsidRPr="009D44F4">
        <w:rPr>
          <w:b/>
          <w:sz w:val="24"/>
          <w:szCs w:val="24"/>
        </w:rPr>
        <w:t>Бюджет города</w:t>
      </w:r>
    </w:p>
    <w:p w:rsidR="0065006D" w:rsidRPr="009344D9" w:rsidRDefault="0065006D" w:rsidP="00CC5D73">
      <w:pPr>
        <w:ind w:right="-1"/>
        <w:jc w:val="center"/>
        <w:rPr>
          <w:sz w:val="10"/>
          <w:szCs w:val="10"/>
        </w:rPr>
      </w:pPr>
    </w:p>
    <w:p w:rsidR="002619D8" w:rsidRPr="00504A25" w:rsidRDefault="00C223D1" w:rsidP="0065006D">
      <w:pPr>
        <w:ind w:right="-1" w:firstLine="851"/>
        <w:jc w:val="both"/>
        <w:rPr>
          <w:sz w:val="24"/>
          <w:szCs w:val="24"/>
        </w:rPr>
      </w:pPr>
      <w:r w:rsidRPr="00504A25">
        <w:rPr>
          <w:sz w:val="24"/>
          <w:szCs w:val="24"/>
        </w:rPr>
        <w:t xml:space="preserve">В отчетном периоде в бюджет города поступило </w:t>
      </w:r>
      <w:r w:rsidR="00001A15" w:rsidRPr="00504A25">
        <w:rPr>
          <w:sz w:val="24"/>
          <w:szCs w:val="24"/>
        </w:rPr>
        <w:t>2936,4</w:t>
      </w:r>
      <w:r w:rsidRPr="00504A25">
        <w:rPr>
          <w:sz w:val="24"/>
          <w:szCs w:val="24"/>
        </w:rPr>
        <w:t xml:space="preserve"> млн. рублей, что </w:t>
      </w:r>
      <w:r w:rsidR="002619D8" w:rsidRPr="00504A25">
        <w:rPr>
          <w:sz w:val="24"/>
          <w:szCs w:val="24"/>
        </w:rPr>
        <w:t>составляет 92,2</w:t>
      </w:r>
      <w:r w:rsidRPr="00504A25">
        <w:rPr>
          <w:sz w:val="24"/>
          <w:szCs w:val="24"/>
        </w:rPr>
        <w:t xml:space="preserve">% </w:t>
      </w:r>
      <w:r w:rsidR="002619D8" w:rsidRPr="00504A25">
        <w:rPr>
          <w:sz w:val="24"/>
          <w:szCs w:val="24"/>
        </w:rPr>
        <w:t xml:space="preserve">к уровню </w:t>
      </w:r>
      <w:r w:rsidRPr="00504A25">
        <w:rPr>
          <w:sz w:val="24"/>
          <w:szCs w:val="24"/>
        </w:rPr>
        <w:t xml:space="preserve">2015 года. Годовой план по доходам исполнен на </w:t>
      </w:r>
      <w:r w:rsidR="002619D8" w:rsidRPr="00504A25">
        <w:rPr>
          <w:sz w:val="24"/>
          <w:szCs w:val="24"/>
        </w:rPr>
        <w:t>33</w:t>
      </w:r>
      <w:r w:rsidRPr="00504A25">
        <w:rPr>
          <w:sz w:val="24"/>
          <w:szCs w:val="24"/>
        </w:rPr>
        <w:t xml:space="preserve">%. </w:t>
      </w:r>
    </w:p>
    <w:p w:rsidR="002619D8" w:rsidRPr="00504A25" w:rsidRDefault="00C223D1" w:rsidP="0065006D">
      <w:pPr>
        <w:ind w:right="-1" w:firstLine="851"/>
        <w:jc w:val="both"/>
        <w:rPr>
          <w:sz w:val="24"/>
          <w:szCs w:val="24"/>
        </w:rPr>
      </w:pPr>
      <w:r w:rsidRPr="00504A25">
        <w:rPr>
          <w:sz w:val="24"/>
          <w:szCs w:val="24"/>
        </w:rPr>
        <w:t xml:space="preserve">По сравнению с 2015 годом объём поступлений налоговых и неналоговых доходов увеличился на </w:t>
      </w:r>
      <w:r w:rsidR="002619D8" w:rsidRPr="00504A25">
        <w:rPr>
          <w:sz w:val="24"/>
          <w:szCs w:val="24"/>
        </w:rPr>
        <w:t>5,5</w:t>
      </w:r>
      <w:r w:rsidRPr="00504A25">
        <w:rPr>
          <w:sz w:val="24"/>
          <w:szCs w:val="24"/>
        </w:rPr>
        <w:t xml:space="preserve">% и составил </w:t>
      </w:r>
      <w:r w:rsidR="002619D8" w:rsidRPr="00504A25">
        <w:rPr>
          <w:sz w:val="24"/>
          <w:szCs w:val="24"/>
        </w:rPr>
        <w:t>1964,8</w:t>
      </w:r>
      <w:r w:rsidRPr="00504A25">
        <w:rPr>
          <w:sz w:val="24"/>
          <w:szCs w:val="24"/>
        </w:rPr>
        <w:t xml:space="preserve"> млн. рублей. </w:t>
      </w:r>
    </w:p>
    <w:p w:rsidR="00C67734" w:rsidRPr="00504A25" w:rsidRDefault="00C223D1" w:rsidP="00504A25">
      <w:pPr>
        <w:ind w:right="-1" w:firstLine="851"/>
        <w:jc w:val="both"/>
        <w:rPr>
          <w:sz w:val="24"/>
          <w:szCs w:val="24"/>
        </w:rPr>
      </w:pPr>
      <w:r w:rsidRPr="00504A25">
        <w:rPr>
          <w:sz w:val="24"/>
          <w:szCs w:val="24"/>
        </w:rPr>
        <w:t xml:space="preserve">Расходная часть бюджета города исполнена в объеме </w:t>
      </w:r>
      <w:r w:rsidR="002619D8" w:rsidRPr="00504A25">
        <w:rPr>
          <w:sz w:val="24"/>
          <w:szCs w:val="24"/>
        </w:rPr>
        <w:t>2413,5</w:t>
      </w:r>
      <w:r w:rsidRPr="00504A25">
        <w:rPr>
          <w:sz w:val="24"/>
          <w:szCs w:val="24"/>
        </w:rPr>
        <w:t xml:space="preserve"> млн. рублей, что </w:t>
      </w:r>
      <w:r w:rsidR="002619D8" w:rsidRPr="00504A25">
        <w:rPr>
          <w:sz w:val="24"/>
          <w:szCs w:val="24"/>
        </w:rPr>
        <w:t>на 2,7%</w:t>
      </w:r>
      <w:r w:rsidRPr="00504A25">
        <w:rPr>
          <w:sz w:val="24"/>
          <w:szCs w:val="24"/>
        </w:rPr>
        <w:t xml:space="preserve"> выше уровня 2015 года. Расходы бюджета за отчетный период составили </w:t>
      </w:r>
      <w:r w:rsidR="002619D8" w:rsidRPr="00504A25">
        <w:rPr>
          <w:sz w:val="24"/>
          <w:szCs w:val="24"/>
        </w:rPr>
        <w:t>26</w:t>
      </w:r>
      <w:r w:rsidRPr="00504A25">
        <w:rPr>
          <w:sz w:val="24"/>
          <w:szCs w:val="24"/>
        </w:rPr>
        <w:t xml:space="preserve">% годовых </w:t>
      </w:r>
      <w:r w:rsidRPr="004A317D">
        <w:rPr>
          <w:sz w:val="24"/>
          <w:szCs w:val="24"/>
        </w:rPr>
        <w:t>назначений.</w:t>
      </w:r>
    </w:p>
    <w:p w:rsidR="00C223D1" w:rsidRPr="00504A25" w:rsidRDefault="00046406" w:rsidP="00C223D1">
      <w:pPr>
        <w:ind w:left="-284" w:right="-30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91440" distB="136906" distL="175260" distR="1000887" simplePos="0" relativeHeight="251659264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-97155</wp:posOffset>
            </wp:positionV>
            <wp:extent cx="5324475" cy="1743075"/>
            <wp:effectExtent l="0" t="0" r="0" b="0"/>
            <wp:wrapTight wrapText="bothSides">
              <wp:wrapPolygon edited="0">
                <wp:start x="6260" y="4485"/>
                <wp:lineTo x="3941" y="6610"/>
                <wp:lineTo x="3246" y="7554"/>
                <wp:lineTo x="3323" y="13692"/>
                <wp:lineTo x="3709" y="15816"/>
                <wp:lineTo x="4096" y="16052"/>
                <wp:lineTo x="5873" y="19593"/>
                <wp:lineTo x="5951" y="20302"/>
                <wp:lineTo x="6801" y="20538"/>
                <wp:lineTo x="11128" y="20538"/>
                <wp:lineTo x="11515" y="20538"/>
                <wp:lineTo x="14142" y="20538"/>
                <wp:lineTo x="15611" y="20302"/>
                <wp:lineTo x="15765" y="19593"/>
                <wp:lineTo x="17620" y="16289"/>
                <wp:lineTo x="17620" y="15816"/>
                <wp:lineTo x="19011" y="12511"/>
                <wp:lineTo x="17311" y="12039"/>
                <wp:lineTo x="17311" y="8262"/>
                <wp:lineTo x="19243" y="6374"/>
                <wp:lineTo x="19166" y="4485"/>
                <wp:lineTo x="6260" y="4485"/>
              </wp:wrapPolygon>
            </wp:wrapTight>
            <wp:docPr id="27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C223D1" w:rsidRPr="00504A25">
        <w:rPr>
          <w:sz w:val="24"/>
          <w:szCs w:val="24"/>
        </w:rPr>
        <w:t>Динамика доходов и расходов бюджета города, млн. рублей</w:t>
      </w:r>
    </w:p>
    <w:p w:rsidR="00390418" w:rsidRDefault="00390418" w:rsidP="00C223D1">
      <w:pPr>
        <w:ind w:left="-284" w:right="-307"/>
        <w:jc w:val="center"/>
      </w:pPr>
    </w:p>
    <w:p w:rsidR="00C223D1" w:rsidRDefault="00C223D1" w:rsidP="00C223D1">
      <w:pPr>
        <w:ind w:left="-284" w:right="-307"/>
        <w:jc w:val="center"/>
        <w:rPr>
          <w:b/>
          <w:i/>
        </w:rPr>
      </w:pPr>
    </w:p>
    <w:p w:rsidR="00390418" w:rsidRDefault="00390418" w:rsidP="00C223D1">
      <w:pPr>
        <w:ind w:left="-284" w:right="-307"/>
        <w:jc w:val="center"/>
        <w:rPr>
          <w:b/>
          <w:i/>
        </w:rPr>
      </w:pPr>
    </w:p>
    <w:p w:rsidR="00CC5D73" w:rsidRDefault="00CC5D73" w:rsidP="00C223D1">
      <w:pPr>
        <w:ind w:left="-284" w:right="-307"/>
        <w:jc w:val="center"/>
        <w:rPr>
          <w:b/>
          <w:i/>
        </w:rPr>
      </w:pPr>
    </w:p>
    <w:p w:rsidR="00CC5D73" w:rsidRDefault="00CC5D73" w:rsidP="00C223D1">
      <w:pPr>
        <w:ind w:left="-284" w:right="-307"/>
        <w:jc w:val="center"/>
        <w:rPr>
          <w:b/>
          <w:i/>
        </w:rPr>
      </w:pPr>
    </w:p>
    <w:p w:rsidR="00390418" w:rsidRDefault="00390418" w:rsidP="00C67734">
      <w:pPr>
        <w:ind w:right="-1"/>
        <w:jc w:val="center"/>
        <w:rPr>
          <w:b/>
          <w:i/>
        </w:rPr>
      </w:pPr>
    </w:p>
    <w:p w:rsidR="009F146A" w:rsidRDefault="009F146A" w:rsidP="004A317D">
      <w:pPr>
        <w:pStyle w:val="a8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164E4C" w:rsidRDefault="00164E4C" w:rsidP="004A317D">
      <w:pPr>
        <w:pStyle w:val="a8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F2087" w:rsidRPr="004A317D" w:rsidRDefault="004A317D" w:rsidP="004A317D">
      <w:pPr>
        <w:pStyle w:val="a8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93BE3">
        <w:rPr>
          <w:rFonts w:ascii="Times New Roman" w:hAnsi="Times New Roman"/>
          <w:b/>
          <w:noProof/>
          <w:sz w:val="24"/>
          <w:szCs w:val="24"/>
        </w:rPr>
        <w:lastRenderedPageBreak/>
        <w:t>Муниципальный заказ</w:t>
      </w:r>
    </w:p>
    <w:p w:rsidR="00F52E93" w:rsidRPr="009344D9" w:rsidRDefault="00F52E93" w:rsidP="00F52E93">
      <w:pPr>
        <w:ind w:right="-1"/>
        <w:jc w:val="center"/>
        <w:rPr>
          <w:sz w:val="10"/>
          <w:szCs w:val="10"/>
        </w:rPr>
      </w:pPr>
    </w:p>
    <w:p w:rsidR="00001A15" w:rsidRDefault="00390418" w:rsidP="00092FDF">
      <w:pPr>
        <w:ind w:right="-1" w:firstLine="709"/>
        <w:jc w:val="both"/>
        <w:rPr>
          <w:sz w:val="24"/>
          <w:szCs w:val="24"/>
        </w:rPr>
      </w:pPr>
      <w:r w:rsidRPr="007B0BD0">
        <w:rPr>
          <w:sz w:val="24"/>
          <w:szCs w:val="24"/>
        </w:rPr>
        <w:t xml:space="preserve">Согласно планам-графикам закупок для обеспечения муниципальных нужд города </w:t>
      </w:r>
      <w:r w:rsidR="00092FDF">
        <w:rPr>
          <w:sz w:val="24"/>
          <w:szCs w:val="24"/>
        </w:rPr>
        <w:t xml:space="preserve">             </w:t>
      </w:r>
      <w:r w:rsidRPr="007B0BD0">
        <w:rPr>
          <w:sz w:val="24"/>
          <w:szCs w:val="24"/>
        </w:rPr>
        <w:t xml:space="preserve">на </w:t>
      </w:r>
      <w:r w:rsidR="00092FDF">
        <w:rPr>
          <w:sz w:val="24"/>
          <w:szCs w:val="24"/>
        </w:rPr>
        <w:t xml:space="preserve"> </w:t>
      </w:r>
      <w:r w:rsidRPr="007B0BD0">
        <w:rPr>
          <w:sz w:val="24"/>
          <w:szCs w:val="24"/>
        </w:rPr>
        <w:t xml:space="preserve">2016 год (по состоянию на </w:t>
      </w:r>
      <w:r w:rsidR="00092FDF">
        <w:rPr>
          <w:sz w:val="24"/>
          <w:szCs w:val="24"/>
        </w:rPr>
        <w:t>29.04</w:t>
      </w:r>
      <w:r w:rsidRPr="007B0BD0">
        <w:rPr>
          <w:sz w:val="24"/>
          <w:szCs w:val="24"/>
        </w:rPr>
        <w:t>.2016) запланировано разместить 10</w:t>
      </w:r>
      <w:r w:rsidR="00092FDF">
        <w:rPr>
          <w:sz w:val="24"/>
          <w:szCs w:val="24"/>
        </w:rPr>
        <w:t>37</w:t>
      </w:r>
      <w:r w:rsidRPr="007B0BD0">
        <w:rPr>
          <w:sz w:val="24"/>
          <w:szCs w:val="24"/>
        </w:rPr>
        <w:t xml:space="preserve"> заявок на сумму </w:t>
      </w:r>
      <w:r w:rsidR="00092FDF">
        <w:rPr>
          <w:sz w:val="24"/>
          <w:szCs w:val="24"/>
        </w:rPr>
        <w:t xml:space="preserve">   </w:t>
      </w:r>
      <w:r w:rsidRPr="007B0BD0">
        <w:rPr>
          <w:sz w:val="24"/>
          <w:szCs w:val="24"/>
        </w:rPr>
        <w:t>1</w:t>
      </w:r>
      <w:r w:rsidR="00092FDF">
        <w:rPr>
          <w:sz w:val="24"/>
          <w:szCs w:val="24"/>
        </w:rPr>
        <w:t>961,06</w:t>
      </w:r>
      <w:r w:rsidRPr="007B0BD0">
        <w:rPr>
          <w:sz w:val="24"/>
          <w:szCs w:val="24"/>
        </w:rPr>
        <w:t xml:space="preserve"> млн. рублей </w:t>
      </w:r>
      <w:r w:rsidRPr="00001A15">
        <w:rPr>
          <w:sz w:val="24"/>
          <w:szCs w:val="24"/>
        </w:rPr>
        <w:t>(в 2015 году 12</w:t>
      </w:r>
      <w:r w:rsidR="00001A15" w:rsidRPr="00001A15">
        <w:rPr>
          <w:sz w:val="24"/>
          <w:szCs w:val="24"/>
        </w:rPr>
        <w:t>78</w:t>
      </w:r>
      <w:r w:rsidRPr="00001A15">
        <w:rPr>
          <w:sz w:val="24"/>
          <w:szCs w:val="24"/>
        </w:rPr>
        <w:t xml:space="preserve"> заявок на сумму 2</w:t>
      </w:r>
      <w:r w:rsidR="00001A15" w:rsidRPr="00001A15">
        <w:rPr>
          <w:sz w:val="24"/>
          <w:szCs w:val="24"/>
        </w:rPr>
        <w:t>099,8</w:t>
      </w:r>
      <w:r w:rsidRPr="00001A15">
        <w:rPr>
          <w:sz w:val="24"/>
          <w:szCs w:val="24"/>
        </w:rPr>
        <w:t xml:space="preserve"> млн. рублей соответственно)</w:t>
      </w:r>
      <w:r w:rsidRPr="007B0BD0">
        <w:rPr>
          <w:sz w:val="24"/>
          <w:szCs w:val="24"/>
        </w:rPr>
        <w:t>, в том числе в январе-</w:t>
      </w:r>
      <w:r w:rsidR="00092FDF">
        <w:rPr>
          <w:sz w:val="24"/>
          <w:szCs w:val="24"/>
        </w:rPr>
        <w:t>апре</w:t>
      </w:r>
      <w:r w:rsidRPr="007B0BD0">
        <w:rPr>
          <w:sz w:val="24"/>
          <w:szCs w:val="24"/>
        </w:rPr>
        <w:t xml:space="preserve">ле – </w:t>
      </w:r>
      <w:r w:rsidR="00092FDF">
        <w:rPr>
          <w:sz w:val="24"/>
          <w:szCs w:val="24"/>
        </w:rPr>
        <w:t>487</w:t>
      </w:r>
      <w:r w:rsidRPr="007B0BD0">
        <w:rPr>
          <w:sz w:val="24"/>
          <w:szCs w:val="24"/>
        </w:rPr>
        <w:t xml:space="preserve"> заявок на </w:t>
      </w:r>
      <w:r w:rsidR="00092FDF">
        <w:rPr>
          <w:sz w:val="24"/>
          <w:szCs w:val="24"/>
        </w:rPr>
        <w:t xml:space="preserve">1501,1 </w:t>
      </w:r>
      <w:r w:rsidRPr="007B0BD0">
        <w:rPr>
          <w:sz w:val="24"/>
          <w:szCs w:val="24"/>
        </w:rPr>
        <w:t xml:space="preserve">млн. рублей. Фактически за отчетный период заказчиками подано </w:t>
      </w:r>
      <w:r w:rsidR="00092FDF">
        <w:rPr>
          <w:sz w:val="24"/>
          <w:szCs w:val="24"/>
        </w:rPr>
        <w:t>537</w:t>
      </w:r>
      <w:r w:rsidRPr="007B0BD0">
        <w:rPr>
          <w:sz w:val="24"/>
          <w:szCs w:val="24"/>
        </w:rPr>
        <w:t xml:space="preserve"> заявок на </w:t>
      </w:r>
      <w:r w:rsidR="00092FDF">
        <w:rPr>
          <w:sz w:val="24"/>
          <w:szCs w:val="24"/>
        </w:rPr>
        <w:t>2015,7</w:t>
      </w:r>
      <w:r w:rsidR="006F3E68">
        <w:rPr>
          <w:sz w:val="24"/>
          <w:szCs w:val="24"/>
        </w:rPr>
        <w:t xml:space="preserve"> млн. рублей.</w:t>
      </w:r>
      <w:r w:rsidRPr="007B0BD0">
        <w:rPr>
          <w:sz w:val="24"/>
          <w:szCs w:val="24"/>
        </w:rPr>
        <w:t xml:space="preserve"> </w:t>
      </w:r>
    </w:p>
    <w:p w:rsidR="00001A15" w:rsidRDefault="00390418" w:rsidP="00092FDF">
      <w:pPr>
        <w:ind w:right="-1" w:firstLine="709"/>
        <w:jc w:val="both"/>
        <w:rPr>
          <w:sz w:val="24"/>
          <w:szCs w:val="24"/>
        </w:rPr>
      </w:pPr>
      <w:r w:rsidRPr="007B0BD0">
        <w:rPr>
          <w:sz w:val="24"/>
          <w:szCs w:val="24"/>
        </w:rPr>
        <w:t xml:space="preserve">На официальном сайте госзакупок с начала года размещено </w:t>
      </w:r>
      <w:r w:rsidR="00092FDF">
        <w:rPr>
          <w:sz w:val="24"/>
          <w:szCs w:val="24"/>
        </w:rPr>
        <w:t>383</w:t>
      </w:r>
      <w:r w:rsidRPr="007B0BD0">
        <w:rPr>
          <w:sz w:val="24"/>
          <w:szCs w:val="24"/>
        </w:rPr>
        <w:t xml:space="preserve"> заявки на сумму </w:t>
      </w:r>
      <w:r w:rsidR="00001A15">
        <w:rPr>
          <w:sz w:val="24"/>
          <w:szCs w:val="24"/>
        </w:rPr>
        <w:t xml:space="preserve">          </w:t>
      </w:r>
      <w:r w:rsidR="00092FDF">
        <w:rPr>
          <w:sz w:val="24"/>
          <w:szCs w:val="24"/>
        </w:rPr>
        <w:t>1197,1</w:t>
      </w:r>
      <w:r w:rsidRPr="007B0BD0">
        <w:rPr>
          <w:sz w:val="24"/>
          <w:szCs w:val="24"/>
        </w:rPr>
        <w:t xml:space="preserve"> млн. рублей. </w:t>
      </w:r>
      <w:r w:rsidR="00001A15" w:rsidRPr="00B2400C">
        <w:rPr>
          <w:rFonts w:eastAsia="Times New Roman"/>
          <w:sz w:val="24"/>
          <w:szCs w:val="24"/>
        </w:rPr>
        <w:t xml:space="preserve">По итогам завершенных процедур подлежат заключению </w:t>
      </w:r>
      <w:r w:rsidR="00001A15">
        <w:rPr>
          <w:rFonts w:eastAsia="Times New Roman"/>
          <w:sz w:val="24"/>
          <w:szCs w:val="24"/>
        </w:rPr>
        <w:t>25</w:t>
      </w:r>
      <w:r w:rsidR="00001A15" w:rsidRPr="00B2400C">
        <w:rPr>
          <w:rFonts w:eastAsia="Times New Roman"/>
          <w:sz w:val="24"/>
          <w:szCs w:val="24"/>
        </w:rPr>
        <w:t xml:space="preserve">9 контрактов  </w:t>
      </w:r>
      <w:r w:rsidR="00001A15">
        <w:rPr>
          <w:rFonts w:eastAsia="Times New Roman"/>
          <w:sz w:val="24"/>
          <w:szCs w:val="24"/>
        </w:rPr>
        <w:t xml:space="preserve">          </w:t>
      </w:r>
      <w:r w:rsidR="00001A15" w:rsidRPr="00B2400C">
        <w:rPr>
          <w:rFonts w:eastAsia="Times New Roman"/>
          <w:sz w:val="24"/>
          <w:szCs w:val="24"/>
        </w:rPr>
        <w:t xml:space="preserve">на </w:t>
      </w:r>
      <w:r w:rsidR="00001A15">
        <w:rPr>
          <w:rFonts w:eastAsia="Times New Roman"/>
          <w:sz w:val="24"/>
          <w:szCs w:val="24"/>
        </w:rPr>
        <w:t>463,1</w:t>
      </w:r>
      <w:r w:rsidR="00001A15" w:rsidRPr="00B2400C">
        <w:rPr>
          <w:rFonts w:eastAsia="Times New Roman"/>
          <w:sz w:val="24"/>
          <w:szCs w:val="24"/>
        </w:rPr>
        <w:t xml:space="preserve"> млн.</w:t>
      </w:r>
      <w:r w:rsidR="00001A15">
        <w:rPr>
          <w:rFonts w:eastAsia="Times New Roman"/>
          <w:sz w:val="24"/>
          <w:szCs w:val="24"/>
        </w:rPr>
        <w:t xml:space="preserve"> </w:t>
      </w:r>
      <w:r w:rsidR="00001A15" w:rsidRPr="00B2400C">
        <w:rPr>
          <w:rFonts w:eastAsia="Times New Roman"/>
          <w:sz w:val="24"/>
          <w:szCs w:val="24"/>
        </w:rPr>
        <w:t>руб</w:t>
      </w:r>
      <w:r w:rsidR="00001A15">
        <w:rPr>
          <w:rFonts w:eastAsia="Times New Roman"/>
          <w:sz w:val="24"/>
          <w:szCs w:val="24"/>
        </w:rPr>
        <w:t>лей, э</w:t>
      </w:r>
      <w:r w:rsidR="006F3E68">
        <w:rPr>
          <w:rFonts w:eastAsia="Times New Roman"/>
          <w:sz w:val="24"/>
          <w:szCs w:val="24"/>
        </w:rPr>
        <w:t xml:space="preserve">кономия составила </w:t>
      </w:r>
      <w:r w:rsidR="00001A15">
        <w:rPr>
          <w:sz w:val="24"/>
          <w:szCs w:val="24"/>
        </w:rPr>
        <w:t>71</w:t>
      </w:r>
      <w:r w:rsidR="00001A15" w:rsidRPr="007B0BD0">
        <w:rPr>
          <w:sz w:val="24"/>
          <w:szCs w:val="24"/>
        </w:rPr>
        <w:t xml:space="preserve">,8 </w:t>
      </w:r>
      <w:r w:rsidR="00001A15" w:rsidRPr="00B2400C">
        <w:rPr>
          <w:rFonts w:eastAsia="Times New Roman"/>
          <w:sz w:val="24"/>
          <w:szCs w:val="24"/>
        </w:rPr>
        <w:t>млн.</w:t>
      </w:r>
      <w:r w:rsidR="00001A15">
        <w:rPr>
          <w:rFonts w:eastAsia="Times New Roman"/>
          <w:sz w:val="24"/>
          <w:szCs w:val="24"/>
        </w:rPr>
        <w:t xml:space="preserve"> </w:t>
      </w:r>
      <w:r w:rsidR="00001A15" w:rsidRPr="00B2400C">
        <w:rPr>
          <w:rFonts w:eastAsia="Times New Roman"/>
          <w:sz w:val="24"/>
          <w:szCs w:val="24"/>
        </w:rPr>
        <w:t>руб</w:t>
      </w:r>
      <w:r w:rsidR="00001A15">
        <w:rPr>
          <w:rFonts w:eastAsia="Times New Roman"/>
          <w:sz w:val="24"/>
          <w:szCs w:val="24"/>
        </w:rPr>
        <w:t>лей</w:t>
      </w:r>
      <w:r w:rsidR="00001A15" w:rsidRPr="00B2400C">
        <w:rPr>
          <w:rFonts w:eastAsia="Times New Roman"/>
          <w:sz w:val="24"/>
          <w:szCs w:val="24"/>
        </w:rPr>
        <w:t>.</w:t>
      </w:r>
    </w:p>
    <w:p w:rsidR="00390418" w:rsidRPr="003F2087" w:rsidRDefault="00390418" w:rsidP="00225996">
      <w:pPr>
        <w:ind w:right="-307"/>
        <w:rPr>
          <w:sz w:val="24"/>
          <w:szCs w:val="24"/>
        </w:rPr>
      </w:pPr>
    </w:p>
    <w:p w:rsidR="004A317D" w:rsidRDefault="004A317D" w:rsidP="004A317D">
      <w:pPr>
        <w:jc w:val="center"/>
        <w:rPr>
          <w:b/>
          <w:sz w:val="24"/>
          <w:szCs w:val="24"/>
        </w:rPr>
      </w:pPr>
      <w:r w:rsidRPr="00502D36">
        <w:rPr>
          <w:b/>
          <w:sz w:val="24"/>
          <w:szCs w:val="24"/>
        </w:rPr>
        <w:t>Цены</w:t>
      </w:r>
    </w:p>
    <w:p w:rsidR="003F2087" w:rsidRPr="009344D9" w:rsidRDefault="003F2087" w:rsidP="007B0BD0">
      <w:pPr>
        <w:ind w:right="-307"/>
        <w:jc w:val="center"/>
        <w:rPr>
          <w:sz w:val="10"/>
          <w:szCs w:val="10"/>
        </w:rPr>
      </w:pPr>
    </w:p>
    <w:p w:rsidR="00092FDF" w:rsidRDefault="00225996" w:rsidP="00755462">
      <w:pPr>
        <w:ind w:right="-1" w:firstLine="709"/>
        <w:jc w:val="both"/>
        <w:rPr>
          <w:sz w:val="24"/>
          <w:szCs w:val="24"/>
        </w:rPr>
      </w:pPr>
      <w:r w:rsidRPr="00755462">
        <w:rPr>
          <w:sz w:val="24"/>
          <w:szCs w:val="24"/>
        </w:rPr>
        <w:t xml:space="preserve">Средние цены в городе с начала года возросли на все товары и услуги на </w:t>
      </w:r>
      <w:r w:rsidR="005223EB">
        <w:rPr>
          <w:sz w:val="24"/>
          <w:szCs w:val="24"/>
        </w:rPr>
        <w:t>2,2</w:t>
      </w:r>
      <w:r w:rsidRPr="00755462">
        <w:rPr>
          <w:sz w:val="24"/>
          <w:szCs w:val="24"/>
        </w:rPr>
        <w:t xml:space="preserve">%, в т.ч.: </w:t>
      </w:r>
    </w:p>
    <w:p w:rsidR="00092FDF" w:rsidRDefault="00225996" w:rsidP="00755462">
      <w:pPr>
        <w:ind w:right="-1" w:firstLine="709"/>
        <w:jc w:val="both"/>
        <w:rPr>
          <w:sz w:val="24"/>
          <w:szCs w:val="24"/>
        </w:rPr>
      </w:pPr>
      <w:r w:rsidRPr="00755462">
        <w:rPr>
          <w:sz w:val="24"/>
          <w:szCs w:val="24"/>
        </w:rPr>
        <w:t xml:space="preserve">на продовольственные товары – на </w:t>
      </w:r>
      <w:r w:rsidR="005223EB">
        <w:rPr>
          <w:sz w:val="24"/>
          <w:szCs w:val="24"/>
        </w:rPr>
        <w:t>1,9</w:t>
      </w:r>
      <w:r w:rsidRPr="00755462">
        <w:rPr>
          <w:sz w:val="24"/>
          <w:szCs w:val="24"/>
        </w:rPr>
        <w:t>% (за январь-февраль 2015 г. – на 8,</w:t>
      </w:r>
      <w:r w:rsidR="004C2047">
        <w:rPr>
          <w:sz w:val="24"/>
          <w:szCs w:val="24"/>
        </w:rPr>
        <w:t>7</w:t>
      </w:r>
      <w:r w:rsidRPr="00755462">
        <w:rPr>
          <w:sz w:val="24"/>
          <w:szCs w:val="24"/>
        </w:rPr>
        <w:t xml:space="preserve">%), </w:t>
      </w:r>
    </w:p>
    <w:p w:rsidR="00092FDF" w:rsidRDefault="00225996" w:rsidP="00755462">
      <w:pPr>
        <w:ind w:right="-1" w:firstLine="709"/>
        <w:jc w:val="both"/>
        <w:rPr>
          <w:sz w:val="24"/>
          <w:szCs w:val="24"/>
        </w:rPr>
      </w:pPr>
      <w:r w:rsidRPr="00755462">
        <w:rPr>
          <w:sz w:val="24"/>
          <w:szCs w:val="24"/>
        </w:rPr>
        <w:t xml:space="preserve">на непродовольственные товары – на </w:t>
      </w:r>
      <w:r w:rsidR="005223EB">
        <w:rPr>
          <w:sz w:val="24"/>
          <w:szCs w:val="24"/>
        </w:rPr>
        <w:t>3,2</w:t>
      </w:r>
      <w:r w:rsidRPr="00755462">
        <w:rPr>
          <w:sz w:val="24"/>
          <w:szCs w:val="24"/>
        </w:rPr>
        <w:t xml:space="preserve">% (на </w:t>
      </w:r>
      <w:r w:rsidR="004C2047">
        <w:rPr>
          <w:sz w:val="24"/>
          <w:szCs w:val="24"/>
        </w:rPr>
        <w:t>9,3</w:t>
      </w:r>
      <w:r w:rsidR="005223EB">
        <w:rPr>
          <w:sz w:val="24"/>
          <w:szCs w:val="24"/>
        </w:rPr>
        <w:t xml:space="preserve">%), </w:t>
      </w:r>
    </w:p>
    <w:p w:rsidR="005223EB" w:rsidRPr="003F2087" w:rsidRDefault="005223EB" w:rsidP="003F2087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платные услуги – на 0,6</w:t>
      </w:r>
      <w:r w:rsidR="00225996" w:rsidRPr="00755462">
        <w:rPr>
          <w:sz w:val="24"/>
          <w:szCs w:val="24"/>
        </w:rPr>
        <w:t xml:space="preserve">% (на </w:t>
      </w:r>
      <w:r w:rsidR="004C2047">
        <w:rPr>
          <w:sz w:val="24"/>
          <w:szCs w:val="24"/>
        </w:rPr>
        <w:t>2,0</w:t>
      </w:r>
      <w:r w:rsidR="00225996" w:rsidRPr="00755462">
        <w:rPr>
          <w:sz w:val="24"/>
          <w:szCs w:val="24"/>
        </w:rPr>
        <w:t>%).</w:t>
      </w:r>
    </w:p>
    <w:p w:rsidR="00055821" w:rsidRPr="005223EB" w:rsidRDefault="005223EB" w:rsidP="005223EB">
      <w:pPr>
        <w:ind w:left="-284" w:right="-1"/>
        <w:rPr>
          <w:i/>
          <w:sz w:val="24"/>
          <w:szCs w:val="24"/>
        </w:rPr>
      </w:pPr>
      <w:r w:rsidRPr="005223EB">
        <w:rPr>
          <w:i/>
          <w:sz w:val="24"/>
          <w:szCs w:val="24"/>
        </w:rPr>
        <w:t xml:space="preserve">      </w:t>
      </w:r>
      <w:r w:rsidR="00055821" w:rsidRPr="005223EB">
        <w:rPr>
          <w:i/>
          <w:sz w:val="24"/>
          <w:szCs w:val="24"/>
        </w:rPr>
        <w:t xml:space="preserve">В </w:t>
      </w:r>
      <w:r w:rsidRPr="005223EB">
        <w:rPr>
          <w:i/>
          <w:sz w:val="24"/>
          <w:szCs w:val="24"/>
        </w:rPr>
        <w:t>апре</w:t>
      </w:r>
      <w:r w:rsidR="00055821" w:rsidRPr="005223EB">
        <w:rPr>
          <w:i/>
          <w:sz w:val="24"/>
          <w:szCs w:val="24"/>
        </w:rPr>
        <w:t xml:space="preserve">ле в крае зафиксированы самые </w:t>
      </w:r>
      <w:r w:rsidR="00EE7913">
        <w:rPr>
          <w:i/>
          <w:sz w:val="24"/>
          <w:szCs w:val="24"/>
        </w:rPr>
        <w:t>низк</w:t>
      </w:r>
      <w:r w:rsidR="00055821" w:rsidRPr="005223EB">
        <w:rPr>
          <w:i/>
          <w:sz w:val="24"/>
          <w:szCs w:val="24"/>
        </w:rPr>
        <w:t>ие цены, в рублях: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3"/>
        <w:gridCol w:w="1276"/>
        <w:gridCol w:w="1687"/>
        <w:gridCol w:w="1134"/>
        <w:gridCol w:w="1417"/>
        <w:gridCol w:w="992"/>
      </w:tblGrid>
      <w:tr w:rsidR="005223EB" w:rsidRPr="00D14A86" w:rsidTr="005223EB">
        <w:trPr>
          <w:tblHeader/>
          <w:jc w:val="center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23EB" w:rsidRPr="00D14A86" w:rsidRDefault="005223EB" w:rsidP="005223EB">
            <w:pPr>
              <w:ind w:left="-164" w:right="-122"/>
              <w:jc w:val="center"/>
              <w:rPr>
                <w:sz w:val="23"/>
                <w:szCs w:val="23"/>
              </w:rPr>
            </w:pPr>
            <w:r w:rsidRPr="00D14A86">
              <w:rPr>
                <w:sz w:val="23"/>
                <w:szCs w:val="23"/>
              </w:rPr>
              <w:t>Показатели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23EB" w:rsidRPr="00D14A86" w:rsidRDefault="005223EB" w:rsidP="005223EB">
            <w:pPr>
              <w:ind w:left="-108" w:right="-122"/>
              <w:jc w:val="center"/>
              <w:rPr>
                <w:sz w:val="23"/>
                <w:szCs w:val="23"/>
              </w:rPr>
            </w:pPr>
            <w:r w:rsidRPr="00D14A86">
              <w:rPr>
                <w:sz w:val="23"/>
                <w:szCs w:val="23"/>
              </w:rPr>
              <w:t>Алтайский край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23EB" w:rsidRPr="00D14A86" w:rsidRDefault="005223EB" w:rsidP="005223EB">
            <w:pPr>
              <w:ind w:left="-108" w:right="-122"/>
              <w:jc w:val="center"/>
              <w:rPr>
                <w:spacing w:val="-6"/>
                <w:sz w:val="23"/>
                <w:szCs w:val="23"/>
              </w:rPr>
            </w:pPr>
            <w:r w:rsidRPr="00D14A86">
              <w:rPr>
                <w:spacing w:val="-6"/>
                <w:sz w:val="23"/>
                <w:szCs w:val="23"/>
              </w:rPr>
              <w:t>Новосибирская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23EB" w:rsidRPr="00D14A86" w:rsidRDefault="005223EB" w:rsidP="005223EB">
            <w:pPr>
              <w:ind w:left="-108" w:right="-122"/>
              <w:jc w:val="center"/>
              <w:rPr>
                <w:sz w:val="23"/>
                <w:szCs w:val="23"/>
              </w:rPr>
            </w:pPr>
            <w:r w:rsidRPr="00D14A86">
              <w:rPr>
                <w:sz w:val="23"/>
                <w:szCs w:val="23"/>
              </w:rPr>
              <w:t>Томская область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23EB" w:rsidRPr="00D14A86" w:rsidRDefault="005223EB" w:rsidP="005223EB">
            <w:pPr>
              <w:ind w:left="-108" w:right="-122"/>
              <w:jc w:val="center"/>
              <w:rPr>
                <w:sz w:val="23"/>
                <w:szCs w:val="23"/>
              </w:rPr>
            </w:pPr>
            <w:r w:rsidRPr="00D14A86">
              <w:rPr>
                <w:sz w:val="23"/>
                <w:szCs w:val="23"/>
              </w:rPr>
              <w:t>Кемеровская область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23EB" w:rsidRPr="00D14A86" w:rsidRDefault="005223EB" w:rsidP="005223EB">
            <w:pPr>
              <w:ind w:left="-108" w:right="-122"/>
              <w:jc w:val="center"/>
              <w:rPr>
                <w:sz w:val="23"/>
                <w:szCs w:val="23"/>
              </w:rPr>
            </w:pPr>
            <w:r w:rsidRPr="00D14A86">
              <w:rPr>
                <w:sz w:val="23"/>
                <w:szCs w:val="23"/>
              </w:rPr>
              <w:t>Омская область</w:t>
            </w:r>
          </w:p>
        </w:tc>
      </w:tr>
      <w:tr w:rsidR="005223EB" w:rsidRPr="001B39BB" w:rsidTr="006F3E68">
        <w:trPr>
          <w:jc w:val="center"/>
        </w:trPr>
        <w:tc>
          <w:tcPr>
            <w:tcW w:w="10179" w:type="dxa"/>
            <w:gridSpan w:val="6"/>
            <w:shd w:val="clear" w:color="auto" w:fill="C6D9F1" w:themeFill="text2" w:themeFillTint="33"/>
          </w:tcPr>
          <w:p w:rsidR="005223EB" w:rsidRPr="003F2087" w:rsidRDefault="003F2087" w:rsidP="005223EB">
            <w:pPr>
              <w:ind w:left="-108" w:right="-122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  <w:r w:rsidR="005223EB" w:rsidRPr="003F2087">
              <w:rPr>
                <w:b/>
                <w:sz w:val="23"/>
                <w:szCs w:val="23"/>
              </w:rPr>
              <w:t>Продовольственные товары</w:t>
            </w:r>
          </w:p>
        </w:tc>
      </w:tr>
      <w:tr w:rsidR="00095D0A" w:rsidRPr="003F2087" w:rsidTr="006F3E68">
        <w:trPr>
          <w:trHeight w:val="241"/>
          <w:jc w:val="center"/>
        </w:trPr>
        <w:tc>
          <w:tcPr>
            <w:tcW w:w="3673" w:type="dxa"/>
          </w:tcPr>
          <w:p w:rsidR="00095D0A" w:rsidRPr="003F2087" w:rsidRDefault="00095D0A" w:rsidP="00E12EDE">
            <w:pPr>
              <w:tabs>
                <w:tab w:val="left" w:pos="-121"/>
              </w:tabs>
              <w:ind w:left="21"/>
              <w:rPr>
                <w:spacing w:val="-6"/>
                <w:sz w:val="24"/>
                <w:szCs w:val="24"/>
              </w:rPr>
            </w:pPr>
            <w:r w:rsidRPr="003F2087">
              <w:rPr>
                <w:spacing w:val="-6"/>
                <w:sz w:val="24"/>
                <w:szCs w:val="24"/>
              </w:rPr>
              <w:t>Свинина (кроме бескостного мяса)</w:t>
            </w:r>
          </w:p>
        </w:tc>
        <w:tc>
          <w:tcPr>
            <w:tcW w:w="1276" w:type="dxa"/>
            <w:shd w:val="clear" w:color="auto" w:fill="auto"/>
          </w:tcPr>
          <w:p w:rsidR="00095D0A" w:rsidRPr="003F2087" w:rsidRDefault="00095D0A" w:rsidP="006F3E68">
            <w:pPr>
              <w:ind w:left="-70" w:right="-108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233,02</w:t>
            </w:r>
          </w:p>
        </w:tc>
        <w:tc>
          <w:tcPr>
            <w:tcW w:w="1687" w:type="dxa"/>
            <w:shd w:val="clear" w:color="auto" w:fill="auto"/>
          </w:tcPr>
          <w:p w:rsidR="00095D0A" w:rsidRPr="003F2087" w:rsidRDefault="00095D0A" w:rsidP="006F3E68">
            <w:pPr>
              <w:tabs>
                <w:tab w:val="left" w:pos="1471"/>
              </w:tabs>
              <w:ind w:left="-108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277,04</w:t>
            </w:r>
          </w:p>
        </w:tc>
        <w:tc>
          <w:tcPr>
            <w:tcW w:w="1134" w:type="dxa"/>
            <w:shd w:val="clear" w:color="auto" w:fill="auto"/>
          </w:tcPr>
          <w:p w:rsidR="00095D0A" w:rsidRPr="003F2087" w:rsidRDefault="00095D0A" w:rsidP="006F3E68">
            <w:pPr>
              <w:ind w:left="-70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287,45</w:t>
            </w:r>
          </w:p>
        </w:tc>
        <w:tc>
          <w:tcPr>
            <w:tcW w:w="1417" w:type="dxa"/>
            <w:shd w:val="clear" w:color="auto" w:fill="auto"/>
          </w:tcPr>
          <w:p w:rsidR="00095D0A" w:rsidRPr="003F2087" w:rsidRDefault="00095D0A" w:rsidP="006F3E68">
            <w:pPr>
              <w:ind w:left="-94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249,02</w:t>
            </w:r>
          </w:p>
        </w:tc>
        <w:tc>
          <w:tcPr>
            <w:tcW w:w="992" w:type="dxa"/>
            <w:shd w:val="clear" w:color="auto" w:fill="auto"/>
          </w:tcPr>
          <w:p w:rsidR="00095D0A" w:rsidRPr="003F2087" w:rsidRDefault="00095D0A" w:rsidP="006F3E68">
            <w:pPr>
              <w:ind w:left="-94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238,16</w:t>
            </w:r>
          </w:p>
        </w:tc>
      </w:tr>
      <w:tr w:rsidR="00095D0A" w:rsidRPr="003F2087" w:rsidTr="005223EB">
        <w:trPr>
          <w:trHeight w:val="329"/>
          <w:jc w:val="center"/>
        </w:trPr>
        <w:tc>
          <w:tcPr>
            <w:tcW w:w="3673" w:type="dxa"/>
          </w:tcPr>
          <w:p w:rsidR="00095D0A" w:rsidRPr="003F2087" w:rsidRDefault="00095D0A" w:rsidP="00E12EDE">
            <w:pPr>
              <w:tabs>
                <w:tab w:val="left" w:pos="21"/>
              </w:tabs>
              <w:ind w:left="21"/>
              <w:rPr>
                <w:spacing w:val="-6"/>
                <w:sz w:val="24"/>
                <w:szCs w:val="24"/>
              </w:rPr>
            </w:pPr>
            <w:r w:rsidRPr="003F2087">
              <w:rPr>
                <w:spacing w:val="-6"/>
                <w:sz w:val="24"/>
                <w:szCs w:val="24"/>
              </w:rPr>
              <w:t>Куры охлажденные и мороженые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95D0A" w:rsidRPr="003F2087" w:rsidRDefault="00095D0A" w:rsidP="006F3E68">
            <w:pPr>
              <w:ind w:left="-70" w:right="-108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120,29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95D0A" w:rsidRPr="003F2087" w:rsidRDefault="00095D0A" w:rsidP="006F3E68">
            <w:pPr>
              <w:ind w:left="-108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131,28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95D0A" w:rsidRPr="003F2087" w:rsidRDefault="00095D0A" w:rsidP="006F3E68">
            <w:pPr>
              <w:ind w:left="-70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134,15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5D0A" w:rsidRPr="003F2087" w:rsidRDefault="00095D0A" w:rsidP="006F3E68">
            <w:pPr>
              <w:ind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120,87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95D0A" w:rsidRPr="003F2087" w:rsidRDefault="00095D0A" w:rsidP="006F3E68">
            <w:pPr>
              <w:ind w:left="-70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124,26</w:t>
            </w:r>
          </w:p>
        </w:tc>
      </w:tr>
      <w:tr w:rsidR="00095D0A" w:rsidRPr="003F2087" w:rsidTr="005223EB">
        <w:trPr>
          <w:trHeight w:val="329"/>
          <w:jc w:val="center"/>
        </w:trPr>
        <w:tc>
          <w:tcPr>
            <w:tcW w:w="3673" w:type="dxa"/>
          </w:tcPr>
          <w:p w:rsidR="00095D0A" w:rsidRPr="003F2087" w:rsidRDefault="00095D0A" w:rsidP="003F2087">
            <w:pPr>
              <w:tabs>
                <w:tab w:val="left" w:pos="-121"/>
              </w:tabs>
              <w:ind w:right="-122" w:firstLine="21"/>
              <w:rPr>
                <w:sz w:val="24"/>
                <w:szCs w:val="24"/>
              </w:rPr>
            </w:pPr>
            <w:r w:rsidRPr="003F2087">
              <w:rPr>
                <w:sz w:val="24"/>
                <w:szCs w:val="24"/>
              </w:rPr>
              <w:t>Масло подсолнечное, кг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95D0A" w:rsidRPr="003F2087" w:rsidRDefault="00095D0A" w:rsidP="006F3E68">
            <w:pPr>
              <w:ind w:left="-70" w:right="-108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92,70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95D0A" w:rsidRPr="003F2087" w:rsidRDefault="00095D0A" w:rsidP="006F3E68">
            <w:pPr>
              <w:ind w:left="-108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112,42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95D0A" w:rsidRPr="003F2087" w:rsidRDefault="00095D0A" w:rsidP="006F3E68">
            <w:pPr>
              <w:ind w:left="-70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116,94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5D0A" w:rsidRPr="003F2087" w:rsidRDefault="00095D0A" w:rsidP="006F3E68">
            <w:pPr>
              <w:ind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108,50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95D0A" w:rsidRPr="003F2087" w:rsidRDefault="00095D0A" w:rsidP="006F3E68">
            <w:pPr>
              <w:ind w:left="-70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104,08</w:t>
            </w:r>
          </w:p>
        </w:tc>
      </w:tr>
      <w:tr w:rsidR="00095D0A" w:rsidRPr="003F2087" w:rsidTr="005223EB">
        <w:trPr>
          <w:trHeight w:val="237"/>
          <w:jc w:val="center"/>
        </w:trPr>
        <w:tc>
          <w:tcPr>
            <w:tcW w:w="3673" w:type="dxa"/>
          </w:tcPr>
          <w:p w:rsidR="00095D0A" w:rsidRPr="003F2087" w:rsidRDefault="00095D0A" w:rsidP="003F2087">
            <w:pPr>
              <w:tabs>
                <w:tab w:val="left" w:pos="-121"/>
              </w:tabs>
              <w:ind w:firstLine="21"/>
              <w:rPr>
                <w:sz w:val="24"/>
                <w:szCs w:val="24"/>
              </w:rPr>
            </w:pPr>
            <w:r w:rsidRPr="003F2087">
              <w:rPr>
                <w:sz w:val="24"/>
                <w:szCs w:val="24"/>
              </w:rPr>
              <w:t>Сметана, кг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95D0A" w:rsidRPr="003F2087" w:rsidRDefault="00095D0A" w:rsidP="006F3E68">
            <w:pPr>
              <w:ind w:left="-70" w:right="-108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129,69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95D0A" w:rsidRPr="003F2087" w:rsidRDefault="00095D0A" w:rsidP="006F3E68">
            <w:pPr>
              <w:ind w:left="-108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160,25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95D0A" w:rsidRPr="003F2087" w:rsidRDefault="00095D0A" w:rsidP="006F3E68">
            <w:pPr>
              <w:ind w:left="-70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156,89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5D0A" w:rsidRPr="003F2087" w:rsidRDefault="00095D0A" w:rsidP="006F3E68">
            <w:pPr>
              <w:ind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153,30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95D0A" w:rsidRPr="003F2087" w:rsidRDefault="00095D0A" w:rsidP="006F3E68">
            <w:pPr>
              <w:ind w:left="-70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143,29</w:t>
            </w:r>
          </w:p>
        </w:tc>
      </w:tr>
      <w:tr w:rsidR="00B5382A" w:rsidRPr="003F2087" w:rsidTr="007B0BD0">
        <w:trPr>
          <w:trHeight w:val="231"/>
          <w:jc w:val="center"/>
        </w:trPr>
        <w:tc>
          <w:tcPr>
            <w:tcW w:w="3673" w:type="dxa"/>
          </w:tcPr>
          <w:p w:rsidR="00B5382A" w:rsidRPr="003F2087" w:rsidRDefault="00B5382A" w:rsidP="003F2087">
            <w:pPr>
              <w:tabs>
                <w:tab w:val="left" w:pos="-121"/>
              </w:tabs>
              <w:ind w:right="-122" w:firstLine="21"/>
              <w:rPr>
                <w:sz w:val="24"/>
                <w:szCs w:val="24"/>
              </w:rPr>
            </w:pPr>
            <w:r w:rsidRPr="003F2087">
              <w:rPr>
                <w:sz w:val="24"/>
                <w:szCs w:val="24"/>
              </w:rPr>
              <w:t>Мука пшеничная, кг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5382A" w:rsidRPr="003F2087" w:rsidRDefault="00B5382A" w:rsidP="006F3E68">
            <w:pPr>
              <w:ind w:left="-70" w:right="-108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25,49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bottom"/>
          </w:tcPr>
          <w:p w:rsidR="00B5382A" w:rsidRPr="003F2087" w:rsidRDefault="00B5382A" w:rsidP="006F3E68">
            <w:pPr>
              <w:ind w:left="-108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29,18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5382A" w:rsidRPr="003F2087" w:rsidRDefault="00B5382A" w:rsidP="006F3E68">
            <w:pPr>
              <w:ind w:left="-70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31,22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B5382A" w:rsidRPr="003F2087" w:rsidRDefault="00B5382A" w:rsidP="006F3E68">
            <w:pPr>
              <w:ind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28,05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B5382A" w:rsidRPr="003F2087" w:rsidRDefault="00B5382A" w:rsidP="006F3E68">
            <w:pPr>
              <w:ind w:left="-70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27,69</w:t>
            </w:r>
          </w:p>
        </w:tc>
      </w:tr>
      <w:tr w:rsidR="00095D0A" w:rsidRPr="003F2087" w:rsidTr="005223EB">
        <w:trPr>
          <w:trHeight w:val="295"/>
          <w:jc w:val="center"/>
        </w:trPr>
        <w:tc>
          <w:tcPr>
            <w:tcW w:w="3673" w:type="dxa"/>
          </w:tcPr>
          <w:p w:rsidR="00095D0A" w:rsidRPr="003F2087" w:rsidRDefault="00095D0A" w:rsidP="003F2087">
            <w:pPr>
              <w:tabs>
                <w:tab w:val="left" w:pos="-121"/>
              </w:tabs>
              <w:ind w:firstLine="21"/>
              <w:rPr>
                <w:sz w:val="24"/>
                <w:szCs w:val="24"/>
              </w:rPr>
            </w:pPr>
            <w:r w:rsidRPr="003F2087">
              <w:rPr>
                <w:sz w:val="24"/>
                <w:szCs w:val="24"/>
              </w:rPr>
              <w:t xml:space="preserve">Яйца куриные, за десяток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95D0A" w:rsidRPr="003F2087" w:rsidRDefault="00095D0A" w:rsidP="006F3E68">
            <w:pPr>
              <w:ind w:left="-70" w:right="-108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50,19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bottom"/>
          </w:tcPr>
          <w:p w:rsidR="00095D0A" w:rsidRPr="003F2087" w:rsidRDefault="00095D0A" w:rsidP="006F3E68">
            <w:pPr>
              <w:ind w:left="-108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58,26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95D0A" w:rsidRPr="003F2087" w:rsidRDefault="00095D0A" w:rsidP="006F3E68">
            <w:pPr>
              <w:ind w:left="-70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56,63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095D0A" w:rsidRPr="003F2087" w:rsidRDefault="00095D0A" w:rsidP="006F3E68">
            <w:pPr>
              <w:ind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52,31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095D0A" w:rsidRPr="003F2087" w:rsidRDefault="00095D0A" w:rsidP="006F3E68">
            <w:pPr>
              <w:ind w:left="-70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52,31</w:t>
            </w:r>
          </w:p>
        </w:tc>
      </w:tr>
      <w:tr w:rsidR="00B5382A" w:rsidRPr="003F2087" w:rsidTr="002906C1">
        <w:trPr>
          <w:trHeight w:val="283"/>
          <w:jc w:val="center"/>
        </w:trPr>
        <w:tc>
          <w:tcPr>
            <w:tcW w:w="3673" w:type="dxa"/>
            <w:tcBorders>
              <w:bottom w:val="single" w:sz="4" w:space="0" w:color="auto"/>
            </w:tcBorders>
          </w:tcPr>
          <w:p w:rsidR="00B5382A" w:rsidRPr="003F2087" w:rsidRDefault="00B5382A" w:rsidP="003F2087">
            <w:pPr>
              <w:tabs>
                <w:tab w:val="left" w:pos="-121"/>
              </w:tabs>
              <w:ind w:firstLine="21"/>
              <w:rPr>
                <w:sz w:val="24"/>
                <w:szCs w:val="24"/>
              </w:rPr>
            </w:pPr>
            <w:r w:rsidRPr="003F2087">
              <w:rPr>
                <w:sz w:val="24"/>
                <w:szCs w:val="24"/>
              </w:rPr>
              <w:t>Пшено, кг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382A" w:rsidRPr="003F2087" w:rsidRDefault="00B5382A" w:rsidP="006F3E68">
            <w:pPr>
              <w:ind w:left="-70" w:right="-108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29,02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B5382A" w:rsidRPr="003F2087" w:rsidRDefault="00B5382A" w:rsidP="006F3E68">
            <w:pPr>
              <w:ind w:left="-108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36,22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382A" w:rsidRPr="003F2087" w:rsidRDefault="00B5382A" w:rsidP="006F3E68">
            <w:pPr>
              <w:ind w:left="-70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38,24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5382A" w:rsidRPr="003F2087" w:rsidRDefault="00B5382A" w:rsidP="006F3E68">
            <w:pPr>
              <w:ind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34,43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382A" w:rsidRPr="003F2087" w:rsidRDefault="00B5382A" w:rsidP="006F3E68">
            <w:pPr>
              <w:ind w:left="-70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31,49</w:t>
            </w:r>
          </w:p>
        </w:tc>
      </w:tr>
      <w:tr w:rsidR="005223EB" w:rsidRPr="003F2087" w:rsidTr="005223EB">
        <w:trPr>
          <w:jc w:val="center"/>
        </w:trPr>
        <w:tc>
          <w:tcPr>
            <w:tcW w:w="10179" w:type="dxa"/>
            <w:gridSpan w:val="6"/>
            <w:shd w:val="clear" w:color="auto" w:fill="C6D9F1" w:themeFill="text2" w:themeFillTint="33"/>
          </w:tcPr>
          <w:p w:rsidR="005223EB" w:rsidRPr="003F2087" w:rsidRDefault="003F2087" w:rsidP="005223EB">
            <w:pPr>
              <w:ind w:left="-108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b/>
                <w:sz w:val="24"/>
                <w:szCs w:val="24"/>
              </w:rPr>
              <w:t xml:space="preserve">  </w:t>
            </w:r>
            <w:r w:rsidR="005223EB" w:rsidRPr="003F2087">
              <w:rPr>
                <w:b/>
                <w:sz w:val="24"/>
                <w:szCs w:val="24"/>
              </w:rPr>
              <w:t>Непродовольственные товары</w:t>
            </w:r>
          </w:p>
        </w:tc>
      </w:tr>
      <w:tr w:rsidR="00B5382A" w:rsidRPr="003F2087" w:rsidTr="005223EB">
        <w:trPr>
          <w:jc w:val="center"/>
        </w:trPr>
        <w:tc>
          <w:tcPr>
            <w:tcW w:w="3673" w:type="dxa"/>
            <w:tcBorders>
              <w:bottom w:val="single" w:sz="4" w:space="0" w:color="auto"/>
            </w:tcBorders>
          </w:tcPr>
          <w:p w:rsidR="00B5382A" w:rsidRPr="003F2087" w:rsidRDefault="00B5382A" w:rsidP="006F3E68">
            <w:pPr>
              <w:ind w:left="-57"/>
              <w:rPr>
                <w:sz w:val="24"/>
                <w:szCs w:val="24"/>
              </w:rPr>
            </w:pPr>
            <w:r w:rsidRPr="003F2087">
              <w:rPr>
                <w:sz w:val="24"/>
                <w:szCs w:val="24"/>
              </w:rPr>
              <w:t xml:space="preserve"> Цемент тарированный, за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3F2087">
                <w:rPr>
                  <w:sz w:val="24"/>
                  <w:szCs w:val="24"/>
                </w:rPr>
                <w:t>50 кг</w:t>
              </w:r>
            </w:smartTag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5382A" w:rsidRPr="003F2087" w:rsidRDefault="00B5382A" w:rsidP="006F3E68">
            <w:pPr>
              <w:ind w:left="-70" w:right="-108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226,25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bottom"/>
          </w:tcPr>
          <w:p w:rsidR="00B5382A" w:rsidRPr="003F2087" w:rsidRDefault="00B5382A" w:rsidP="006F3E68">
            <w:pPr>
              <w:tabs>
                <w:tab w:val="left" w:pos="1471"/>
              </w:tabs>
              <w:ind w:left="-108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272,26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5382A" w:rsidRPr="003F2087" w:rsidRDefault="00B5382A" w:rsidP="006F3E68">
            <w:pPr>
              <w:ind w:left="-70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347,35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B5382A" w:rsidRPr="003F2087" w:rsidRDefault="00B5382A" w:rsidP="006F3E68">
            <w:pPr>
              <w:ind w:left="-94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315,10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B5382A" w:rsidRPr="003F2087" w:rsidRDefault="00B5382A" w:rsidP="006F3E68">
            <w:pPr>
              <w:ind w:left="-70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229,74</w:t>
            </w:r>
          </w:p>
        </w:tc>
      </w:tr>
      <w:tr w:rsidR="00B5382A" w:rsidRPr="003F2087" w:rsidTr="005223EB">
        <w:trPr>
          <w:jc w:val="center"/>
        </w:trPr>
        <w:tc>
          <w:tcPr>
            <w:tcW w:w="3673" w:type="dxa"/>
            <w:tcBorders>
              <w:bottom w:val="single" w:sz="4" w:space="0" w:color="auto"/>
            </w:tcBorders>
          </w:tcPr>
          <w:p w:rsidR="00B5382A" w:rsidRPr="003F2087" w:rsidRDefault="00B5382A" w:rsidP="00E12EDE">
            <w:pPr>
              <w:rPr>
                <w:sz w:val="24"/>
                <w:szCs w:val="24"/>
              </w:rPr>
            </w:pPr>
            <w:r w:rsidRPr="003F2087">
              <w:rPr>
                <w:sz w:val="24"/>
                <w:szCs w:val="24"/>
              </w:rPr>
              <w:t>Бензин автомобильный марки  АИ-95 и выше, за 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5382A" w:rsidRPr="003F2087" w:rsidRDefault="00B5382A" w:rsidP="006F3E68">
            <w:pPr>
              <w:ind w:left="-68" w:right="-108"/>
              <w:jc w:val="center"/>
              <w:rPr>
                <w:noProof/>
                <w:sz w:val="24"/>
                <w:szCs w:val="24"/>
              </w:rPr>
            </w:pPr>
            <w:r w:rsidRPr="003F2087">
              <w:rPr>
                <w:noProof/>
                <w:sz w:val="24"/>
                <w:szCs w:val="24"/>
              </w:rPr>
              <w:t>35,36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bottom"/>
          </w:tcPr>
          <w:p w:rsidR="00B5382A" w:rsidRPr="003F2087" w:rsidRDefault="00B5382A" w:rsidP="006F3E68">
            <w:pPr>
              <w:tabs>
                <w:tab w:val="left" w:pos="1471"/>
              </w:tabs>
              <w:ind w:left="-108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35,91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5382A" w:rsidRPr="003F2087" w:rsidRDefault="00B5382A" w:rsidP="006F3E68">
            <w:pPr>
              <w:ind w:left="-68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B5382A" w:rsidRPr="003F2087" w:rsidRDefault="00B5382A" w:rsidP="006F3E68">
            <w:pPr>
              <w:ind w:left="-68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B5382A" w:rsidRPr="003F2087" w:rsidRDefault="00B5382A" w:rsidP="006F3E68">
            <w:pPr>
              <w:ind w:left="-68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36,57</w:t>
            </w:r>
          </w:p>
        </w:tc>
      </w:tr>
      <w:tr w:rsidR="005223EB" w:rsidRPr="003F2087" w:rsidTr="005223EB">
        <w:trPr>
          <w:jc w:val="center"/>
        </w:trPr>
        <w:tc>
          <w:tcPr>
            <w:tcW w:w="10179" w:type="dxa"/>
            <w:gridSpan w:val="6"/>
            <w:shd w:val="clear" w:color="auto" w:fill="C6D9F1" w:themeFill="text2" w:themeFillTint="33"/>
            <w:vAlign w:val="center"/>
          </w:tcPr>
          <w:p w:rsidR="005223EB" w:rsidRPr="003F2087" w:rsidRDefault="005223EB" w:rsidP="005223EB">
            <w:pPr>
              <w:pStyle w:val="a8"/>
              <w:ind w:left="-108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087">
              <w:rPr>
                <w:rFonts w:ascii="Times New Roman" w:hAnsi="Times New Roman"/>
                <w:b/>
                <w:sz w:val="24"/>
                <w:szCs w:val="24"/>
              </w:rPr>
              <w:t>Платные услуги</w:t>
            </w:r>
          </w:p>
        </w:tc>
      </w:tr>
      <w:tr w:rsidR="00B5382A" w:rsidRPr="003F2087" w:rsidTr="004A1B86">
        <w:trPr>
          <w:jc w:val="center"/>
        </w:trPr>
        <w:tc>
          <w:tcPr>
            <w:tcW w:w="3673" w:type="dxa"/>
          </w:tcPr>
          <w:p w:rsidR="00B5382A" w:rsidRPr="003F2087" w:rsidRDefault="00B5382A" w:rsidP="005223EB">
            <w:pPr>
              <w:ind w:right="-122"/>
              <w:rPr>
                <w:sz w:val="24"/>
                <w:szCs w:val="24"/>
              </w:rPr>
            </w:pPr>
            <w:r w:rsidRPr="003F2087">
              <w:rPr>
                <w:sz w:val="24"/>
                <w:szCs w:val="24"/>
              </w:rPr>
              <w:t xml:space="preserve">Помывка в бане в общем </w:t>
            </w:r>
          </w:p>
          <w:p w:rsidR="00B5382A" w:rsidRPr="003F2087" w:rsidRDefault="00B5382A" w:rsidP="005223EB">
            <w:pPr>
              <w:ind w:right="-122"/>
              <w:rPr>
                <w:sz w:val="24"/>
                <w:szCs w:val="24"/>
              </w:rPr>
            </w:pPr>
            <w:r w:rsidRPr="003F2087">
              <w:rPr>
                <w:sz w:val="24"/>
                <w:szCs w:val="24"/>
              </w:rPr>
              <w:t>отделении, билет</w:t>
            </w:r>
          </w:p>
        </w:tc>
        <w:tc>
          <w:tcPr>
            <w:tcW w:w="1276" w:type="dxa"/>
          </w:tcPr>
          <w:p w:rsidR="00B5382A" w:rsidRPr="003F2087" w:rsidRDefault="00B5382A" w:rsidP="004A1B86">
            <w:pPr>
              <w:ind w:left="-70" w:right="-108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144,99</w:t>
            </w:r>
          </w:p>
        </w:tc>
        <w:tc>
          <w:tcPr>
            <w:tcW w:w="1687" w:type="dxa"/>
          </w:tcPr>
          <w:p w:rsidR="00B5382A" w:rsidRPr="003F2087" w:rsidRDefault="00B5382A" w:rsidP="007B7C72">
            <w:pPr>
              <w:spacing w:line="360" w:lineRule="auto"/>
              <w:ind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228,75</w:t>
            </w:r>
          </w:p>
        </w:tc>
        <w:tc>
          <w:tcPr>
            <w:tcW w:w="1134" w:type="dxa"/>
          </w:tcPr>
          <w:p w:rsidR="00B5382A" w:rsidRPr="003F2087" w:rsidRDefault="00B5382A" w:rsidP="007B7C72">
            <w:pPr>
              <w:spacing w:line="360" w:lineRule="auto"/>
              <w:ind w:left="-70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187,89</w:t>
            </w:r>
          </w:p>
        </w:tc>
        <w:tc>
          <w:tcPr>
            <w:tcW w:w="1417" w:type="dxa"/>
          </w:tcPr>
          <w:p w:rsidR="00B5382A" w:rsidRPr="003F2087" w:rsidRDefault="00B5382A" w:rsidP="004A1B86">
            <w:pPr>
              <w:ind w:left="-94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180,50</w:t>
            </w:r>
          </w:p>
        </w:tc>
        <w:tc>
          <w:tcPr>
            <w:tcW w:w="992" w:type="dxa"/>
          </w:tcPr>
          <w:p w:rsidR="00B5382A" w:rsidRPr="003F2087" w:rsidRDefault="00B5382A" w:rsidP="004A1B86">
            <w:pPr>
              <w:tabs>
                <w:tab w:val="left" w:pos="898"/>
              </w:tabs>
              <w:ind w:left="-70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157,00</w:t>
            </w:r>
          </w:p>
        </w:tc>
      </w:tr>
      <w:tr w:rsidR="005223EB" w:rsidRPr="003F2087" w:rsidTr="004A1B86">
        <w:tblPrEx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3673" w:type="dxa"/>
          </w:tcPr>
          <w:p w:rsidR="005223EB" w:rsidRPr="003F2087" w:rsidRDefault="005223EB" w:rsidP="005223EB">
            <w:pPr>
              <w:ind w:right="-122"/>
              <w:rPr>
                <w:sz w:val="24"/>
                <w:szCs w:val="24"/>
              </w:rPr>
            </w:pPr>
            <w:r w:rsidRPr="003F2087">
              <w:rPr>
                <w:sz w:val="24"/>
                <w:szCs w:val="24"/>
              </w:rPr>
              <w:t>Проезд в городском коммерческом  автобусе, поездка</w:t>
            </w:r>
          </w:p>
        </w:tc>
        <w:tc>
          <w:tcPr>
            <w:tcW w:w="1276" w:type="dxa"/>
          </w:tcPr>
          <w:p w:rsidR="005223EB" w:rsidRPr="003F2087" w:rsidRDefault="005223EB" w:rsidP="004A1B86">
            <w:pPr>
              <w:ind w:left="-70" w:right="-108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16,18</w:t>
            </w:r>
          </w:p>
        </w:tc>
        <w:tc>
          <w:tcPr>
            <w:tcW w:w="1687" w:type="dxa"/>
          </w:tcPr>
          <w:p w:rsidR="005223EB" w:rsidRPr="003F2087" w:rsidRDefault="005223EB" w:rsidP="004A1B86">
            <w:pPr>
              <w:tabs>
                <w:tab w:val="left" w:pos="1593"/>
              </w:tabs>
              <w:ind w:left="-108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134" w:type="dxa"/>
          </w:tcPr>
          <w:p w:rsidR="005223EB" w:rsidRPr="003F2087" w:rsidRDefault="005223EB" w:rsidP="004A1B86">
            <w:pPr>
              <w:ind w:left="-94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17,64</w:t>
            </w:r>
          </w:p>
        </w:tc>
        <w:tc>
          <w:tcPr>
            <w:tcW w:w="1417" w:type="dxa"/>
          </w:tcPr>
          <w:p w:rsidR="005223EB" w:rsidRPr="003F2087" w:rsidRDefault="005223EB" w:rsidP="004A1B86">
            <w:pPr>
              <w:ind w:left="-108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-*</w:t>
            </w:r>
          </w:p>
        </w:tc>
        <w:tc>
          <w:tcPr>
            <w:tcW w:w="992" w:type="dxa"/>
          </w:tcPr>
          <w:p w:rsidR="005223EB" w:rsidRPr="003F2087" w:rsidRDefault="005223EB" w:rsidP="004A1B86">
            <w:pPr>
              <w:ind w:left="-108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-*</w:t>
            </w:r>
          </w:p>
        </w:tc>
      </w:tr>
    </w:tbl>
    <w:p w:rsidR="005223EB" w:rsidRPr="00BF2843" w:rsidRDefault="005223EB" w:rsidP="005223EB">
      <w:pPr>
        <w:jc w:val="both"/>
        <w:rPr>
          <w:sz w:val="20"/>
          <w:szCs w:val="20"/>
        </w:rPr>
      </w:pPr>
      <w:r w:rsidRPr="00BF2843">
        <w:rPr>
          <w:sz w:val="20"/>
          <w:szCs w:val="20"/>
        </w:rPr>
        <w:t>*- не наблюдается по причине незначительности или отсутствия явления</w:t>
      </w:r>
    </w:p>
    <w:p w:rsidR="003F2087" w:rsidRPr="00B74573" w:rsidRDefault="003F2087" w:rsidP="005223EB">
      <w:pPr>
        <w:rPr>
          <w:i/>
          <w:sz w:val="16"/>
          <w:szCs w:val="16"/>
        </w:rPr>
      </w:pPr>
    </w:p>
    <w:p w:rsidR="005223EB" w:rsidRPr="00294578" w:rsidRDefault="005223EB" w:rsidP="005223EB">
      <w:pPr>
        <w:rPr>
          <w:i/>
          <w:sz w:val="24"/>
          <w:szCs w:val="24"/>
        </w:rPr>
      </w:pPr>
      <w:r w:rsidRPr="00CF071A">
        <w:rPr>
          <w:i/>
          <w:sz w:val="24"/>
          <w:szCs w:val="24"/>
        </w:rPr>
        <w:t xml:space="preserve">В </w:t>
      </w:r>
      <w:r w:rsidR="00B5382A">
        <w:rPr>
          <w:i/>
          <w:sz w:val="24"/>
          <w:szCs w:val="24"/>
        </w:rPr>
        <w:t>апрел</w:t>
      </w:r>
      <w:r>
        <w:rPr>
          <w:i/>
          <w:sz w:val="24"/>
          <w:szCs w:val="24"/>
        </w:rPr>
        <w:t xml:space="preserve">е </w:t>
      </w:r>
      <w:r w:rsidRPr="00CF071A">
        <w:rPr>
          <w:i/>
          <w:sz w:val="24"/>
          <w:szCs w:val="24"/>
        </w:rPr>
        <w:t xml:space="preserve"> в крае зафиксированы самые высокие цены, в рублях: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843"/>
        <w:gridCol w:w="1134"/>
        <w:gridCol w:w="1417"/>
        <w:gridCol w:w="992"/>
      </w:tblGrid>
      <w:tr w:rsidR="005223EB" w:rsidRPr="00D14A86" w:rsidTr="005223EB">
        <w:tc>
          <w:tcPr>
            <w:tcW w:w="35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23EB" w:rsidRPr="00D14A86" w:rsidRDefault="005223EB" w:rsidP="005223EB">
            <w:pPr>
              <w:ind w:right="-122"/>
              <w:jc w:val="center"/>
              <w:rPr>
                <w:sz w:val="23"/>
                <w:szCs w:val="23"/>
              </w:rPr>
            </w:pPr>
            <w:r w:rsidRPr="00D14A86">
              <w:rPr>
                <w:sz w:val="23"/>
                <w:szCs w:val="23"/>
              </w:rPr>
              <w:t>Показатели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23EB" w:rsidRPr="00D14A86" w:rsidRDefault="005223EB" w:rsidP="005223EB">
            <w:pPr>
              <w:ind w:left="-95" w:right="-122"/>
              <w:jc w:val="center"/>
              <w:rPr>
                <w:sz w:val="23"/>
                <w:szCs w:val="23"/>
              </w:rPr>
            </w:pPr>
            <w:r w:rsidRPr="00D14A86">
              <w:rPr>
                <w:sz w:val="23"/>
                <w:szCs w:val="23"/>
              </w:rPr>
              <w:t>Алтайский край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23EB" w:rsidRPr="00D14A86" w:rsidRDefault="005223EB" w:rsidP="005223EB">
            <w:pPr>
              <w:ind w:left="-95" w:right="-122"/>
              <w:jc w:val="center"/>
              <w:rPr>
                <w:sz w:val="23"/>
                <w:szCs w:val="23"/>
              </w:rPr>
            </w:pPr>
            <w:r w:rsidRPr="00D14A86">
              <w:rPr>
                <w:sz w:val="23"/>
                <w:szCs w:val="23"/>
              </w:rPr>
              <w:t>Новосибирская  область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23EB" w:rsidRPr="00D14A86" w:rsidRDefault="005223EB" w:rsidP="005223EB">
            <w:pPr>
              <w:ind w:left="-95" w:right="-122"/>
              <w:jc w:val="center"/>
              <w:rPr>
                <w:sz w:val="23"/>
                <w:szCs w:val="23"/>
              </w:rPr>
            </w:pPr>
            <w:r w:rsidRPr="00D14A86">
              <w:rPr>
                <w:sz w:val="23"/>
                <w:szCs w:val="23"/>
              </w:rPr>
              <w:t>Томская область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23EB" w:rsidRPr="00D14A86" w:rsidRDefault="005223EB" w:rsidP="005223EB">
            <w:pPr>
              <w:ind w:left="-95" w:right="-122"/>
              <w:jc w:val="center"/>
              <w:rPr>
                <w:sz w:val="23"/>
                <w:szCs w:val="23"/>
              </w:rPr>
            </w:pPr>
            <w:r w:rsidRPr="00D14A86">
              <w:rPr>
                <w:sz w:val="23"/>
                <w:szCs w:val="23"/>
              </w:rPr>
              <w:t>Кемеровская область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23EB" w:rsidRPr="00D14A86" w:rsidRDefault="005223EB" w:rsidP="005223EB">
            <w:pPr>
              <w:ind w:left="-95" w:right="-122"/>
              <w:jc w:val="center"/>
              <w:rPr>
                <w:sz w:val="23"/>
                <w:szCs w:val="23"/>
              </w:rPr>
            </w:pPr>
            <w:r w:rsidRPr="00D14A86">
              <w:rPr>
                <w:sz w:val="23"/>
                <w:szCs w:val="23"/>
              </w:rPr>
              <w:t>Омская область</w:t>
            </w:r>
          </w:p>
        </w:tc>
      </w:tr>
      <w:tr w:rsidR="005223EB" w:rsidRPr="00C27548" w:rsidTr="005223EB">
        <w:tc>
          <w:tcPr>
            <w:tcW w:w="10206" w:type="dxa"/>
            <w:gridSpan w:val="6"/>
            <w:shd w:val="clear" w:color="auto" w:fill="C6D9F1" w:themeFill="text2" w:themeFillTint="33"/>
          </w:tcPr>
          <w:p w:rsidR="005223EB" w:rsidRPr="00C27548" w:rsidRDefault="005223EB" w:rsidP="005223EB">
            <w:pPr>
              <w:ind w:left="-95" w:right="-122"/>
              <w:jc w:val="center"/>
              <w:rPr>
                <w:b/>
                <w:sz w:val="24"/>
                <w:szCs w:val="24"/>
              </w:rPr>
            </w:pPr>
            <w:r w:rsidRPr="00C27548">
              <w:rPr>
                <w:b/>
                <w:color w:val="000000"/>
                <w:sz w:val="24"/>
                <w:szCs w:val="24"/>
              </w:rPr>
              <w:t>Непродовольственные товары</w:t>
            </w:r>
          </w:p>
        </w:tc>
      </w:tr>
      <w:tr w:rsidR="004C2047" w:rsidRPr="003F2087" w:rsidTr="007B0BD0">
        <w:trPr>
          <w:trHeight w:val="228"/>
        </w:trPr>
        <w:tc>
          <w:tcPr>
            <w:tcW w:w="3544" w:type="dxa"/>
            <w:tcBorders>
              <w:bottom w:val="single" w:sz="4" w:space="0" w:color="auto"/>
            </w:tcBorders>
          </w:tcPr>
          <w:p w:rsidR="004C2047" w:rsidRPr="003F2087" w:rsidRDefault="00046406" w:rsidP="00046406">
            <w:pPr>
              <w:ind w:left="-57"/>
              <w:rPr>
                <w:sz w:val="24"/>
                <w:szCs w:val="24"/>
              </w:rPr>
            </w:pPr>
            <w:r w:rsidRPr="003F2087">
              <w:rPr>
                <w:sz w:val="24"/>
                <w:szCs w:val="24"/>
              </w:rPr>
              <w:t xml:space="preserve"> </w:t>
            </w:r>
            <w:r w:rsidR="004C2047" w:rsidRPr="003F2087">
              <w:rPr>
                <w:sz w:val="24"/>
                <w:szCs w:val="24"/>
              </w:rPr>
              <w:t>Сигареты с фильтром</w:t>
            </w:r>
          </w:p>
          <w:p w:rsidR="004C2047" w:rsidRPr="003F2087" w:rsidRDefault="004C2047" w:rsidP="00046406">
            <w:pPr>
              <w:ind w:right="-122"/>
              <w:rPr>
                <w:sz w:val="24"/>
                <w:szCs w:val="24"/>
              </w:rPr>
            </w:pPr>
            <w:r w:rsidRPr="003F2087">
              <w:rPr>
                <w:sz w:val="24"/>
                <w:szCs w:val="24"/>
              </w:rPr>
              <w:t>отечественные, за пачку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C2047" w:rsidRPr="003F2087" w:rsidRDefault="004C2047" w:rsidP="00046406">
            <w:pPr>
              <w:tabs>
                <w:tab w:val="left" w:pos="1168"/>
              </w:tabs>
              <w:ind w:left="-70" w:right="-108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68,06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4C2047" w:rsidRPr="003F2087" w:rsidRDefault="004C2047" w:rsidP="00046406">
            <w:pPr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67,61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C2047" w:rsidRPr="003F2087" w:rsidRDefault="004C2047" w:rsidP="00046406">
            <w:pPr>
              <w:tabs>
                <w:tab w:val="left" w:pos="1026"/>
              </w:tabs>
              <w:ind w:left="-70" w:right="-108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66,88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4C2047" w:rsidRPr="003F2087" w:rsidRDefault="004C2047" w:rsidP="00046406">
            <w:pPr>
              <w:tabs>
                <w:tab w:val="left" w:pos="1309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64,03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4C2047" w:rsidRPr="003F2087" w:rsidRDefault="004C2047" w:rsidP="00046406">
            <w:pPr>
              <w:ind w:left="-70" w:right="-108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64,56</w:t>
            </w:r>
          </w:p>
        </w:tc>
      </w:tr>
      <w:tr w:rsidR="004C2047" w:rsidRPr="003F2087" w:rsidTr="002906C1">
        <w:trPr>
          <w:trHeight w:val="228"/>
        </w:trPr>
        <w:tc>
          <w:tcPr>
            <w:tcW w:w="3544" w:type="dxa"/>
            <w:tcBorders>
              <w:bottom w:val="single" w:sz="4" w:space="0" w:color="auto"/>
            </w:tcBorders>
          </w:tcPr>
          <w:p w:rsidR="004C2047" w:rsidRPr="003F2087" w:rsidRDefault="004C2047" w:rsidP="00046406">
            <w:pPr>
              <w:ind w:right="-122"/>
              <w:rPr>
                <w:sz w:val="24"/>
                <w:szCs w:val="24"/>
              </w:rPr>
            </w:pPr>
            <w:r w:rsidRPr="003F2087">
              <w:rPr>
                <w:sz w:val="24"/>
                <w:szCs w:val="24"/>
              </w:rPr>
              <w:t>Дрова, за м</w:t>
            </w:r>
            <w:r w:rsidRPr="003F208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2047" w:rsidRPr="003F2087" w:rsidRDefault="004C2047" w:rsidP="00046406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1142,16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2047" w:rsidRPr="003F2087" w:rsidRDefault="004C2047" w:rsidP="00046406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900,34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2047" w:rsidRPr="003F2087" w:rsidRDefault="004C2047" w:rsidP="00046406">
            <w:pPr>
              <w:ind w:left="-68" w:right="-108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871,30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2047" w:rsidRPr="003F2087" w:rsidRDefault="004C2047" w:rsidP="00046406">
            <w:pPr>
              <w:ind w:left="-68" w:right="-108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557,41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2047" w:rsidRPr="003F2087" w:rsidRDefault="004C2047" w:rsidP="00046406">
            <w:pPr>
              <w:tabs>
                <w:tab w:val="left" w:pos="902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1062,30</w:t>
            </w:r>
          </w:p>
        </w:tc>
      </w:tr>
      <w:tr w:rsidR="005223EB" w:rsidRPr="003F2087" w:rsidTr="005223EB">
        <w:tc>
          <w:tcPr>
            <w:tcW w:w="10206" w:type="dxa"/>
            <w:gridSpan w:val="6"/>
            <w:shd w:val="clear" w:color="auto" w:fill="C6D9F1" w:themeFill="text2" w:themeFillTint="33"/>
          </w:tcPr>
          <w:p w:rsidR="005223EB" w:rsidRPr="003F2087" w:rsidRDefault="005223EB" w:rsidP="00046406">
            <w:pPr>
              <w:ind w:left="-95" w:right="-122"/>
              <w:jc w:val="center"/>
              <w:rPr>
                <w:b/>
                <w:sz w:val="24"/>
                <w:szCs w:val="24"/>
              </w:rPr>
            </w:pPr>
            <w:r w:rsidRPr="003F2087">
              <w:rPr>
                <w:b/>
                <w:sz w:val="24"/>
                <w:szCs w:val="24"/>
              </w:rPr>
              <w:t>Платные услуги</w:t>
            </w:r>
          </w:p>
        </w:tc>
      </w:tr>
      <w:tr w:rsidR="005223EB" w:rsidRPr="003F2087" w:rsidTr="004A1B86">
        <w:tc>
          <w:tcPr>
            <w:tcW w:w="3544" w:type="dxa"/>
          </w:tcPr>
          <w:p w:rsidR="005223EB" w:rsidRPr="003F2087" w:rsidRDefault="005223EB" w:rsidP="00046406">
            <w:pPr>
              <w:ind w:right="-122"/>
              <w:rPr>
                <w:sz w:val="24"/>
                <w:szCs w:val="24"/>
              </w:rPr>
            </w:pPr>
            <w:r w:rsidRPr="003F2087">
              <w:rPr>
                <w:sz w:val="24"/>
                <w:szCs w:val="24"/>
              </w:rPr>
              <w:t>Электроэнергия в квартирах без                 электроплит, по установленной социальной норме, 100 кВт.ч</w:t>
            </w:r>
          </w:p>
        </w:tc>
        <w:tc>
          <w:tcPr>
            <w:tcW w:w="1276" w:type="dxa"/>
          </w:tcPr>
          <w:p w:rsidR="005223EB" w:rsidRPr="003F2087" w:rsidRDefault="005223EB" w:rsidP="00046406">
            <w:pPr>
              <w:ind w:left="-95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1843" w:type="dxa"/>
          </w:tcPr>
          <w:p w:rsidR="005223EB" w:rsidRPr="003F2087" w:rsidRDefault="005223EB" w:rsidP="00046406">
            <w:pPr>
              <w:ind w:left="-95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234,00</w:t>
            </w:r>
          </w:p>
        </w:tc>
        <w:tc>
          <w:tcPr>
            <w:tcW w:w="1134" w:type="dxa"/>
          </w:tcPr>
          <w:p w:rsidR="005223EB" w:rsidRPr="003F2087" w:rsidRDefault="005223EB" w:rsidP="00046406">
            <w:pPr>
              <w:ind w:left="-95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293,00</w:t>
            </w:r>
          </w:p>
        </w:tc>
        <w:tc>
          <w:tcPr>
            <w:tcW w:w="1417" w:type="dxa"/>
          </w:tcPr>
          <w:p w:rsidR="005223EB" w:rsidRPr="003F2087" w:rsidRDefault="005223EB" w:rsidP="00046406">
            <w:pPr>
              <w:ind w:left="-95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293,00</w:t>
            </w:r>
          </w:p>
        </w:tc>
        <w:tc>
          <w:tcPr>
            <w:tcW w:w="992" w:type="dxa"/>
          </w:tcPr>
          <w:p w:rsidR="005223EB" w:rsidRPr="003F2087" w:rsidRDefault="005223EB" w:rsidP="00046406">
            <w:pPr>
              <w:ind w:left="-95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332,00</w:t>
            </w:r>
          </w:p>
        </w:tc>
      </w:tr>
      <w:tr w:rsidR="005223EB" w:rsidRPr="003F2087" w:rsidTr="004A1B86">
        <w:tc>
          <w:tcPr>
            <w:tcW w:w="3544" w:type="dxa"/>
          </w:tcPr>
          <w:p w:rsidR="005223EB" w:rsidRPr="00294578" w:rsidRDefault="005223EB" w:rsidP="00046406">
            <w:pPr>
              <w:ind w:right="-122"/>
              <w:rPr>
                <w:spacing w:val="4"/>
                <w:sz w:val="24"/>
                <w:szCs w:val="24"/>
              </w:rPr>
            </w:pPr>
            <w:r w:rsidRPr="00294578">
              <w:rPr>
                <w:spacing w:val="4"/>
                <w:sz w:val="24"/>
                <w:szCs w:val="24"/>
              </w:rPr>
              <w:t>Электроэнергия в квартирах  с                          электроплитами, по установленной социальной норме, 100 кВт.ч</w:t>
            </w:r>
          </w:p>
        </w:tc>
        <w:tc>
          <w:tcPr>
            <w:tcW w:w="1276" w:type="dxa"/>
          </w:tcPr>
          <w:p w:rsidR="005223EB" w:rsidRPr="003F2087" w:rsidRDefault="005223EB" w:rsidP="00046406">
            <w:pPr>
              <w:ind w:left="-95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843" w:type="dxa"/>
          </w:tcPr>
          <w:p w:rsidR="005223EB" w:rsidRPr="003F2087" w:rsidRDefault="005223EB" w:rsidP="00046406">
            <w:pPr>
              <w:ind w:left="-95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234,00</w:t>
            </w:r>
          </w:p>
        </w:tc>
        <w:tc>
          <w:tcPr>
            <w:tcW w:w="1134" w:type="dxa"/>
          </w:tcPr>
          <w:p w:rsidR="005223EB" w:rsidRPr="003F2087" w:rsidRDefault="005223EB" w:rsidP="00046406">
            <w:pPr>
              <w:ind w:left="-95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205,00</w:t>
            </w:r>
          </w:p>
        </w:tc>
        <w:tc>
          <w:tcPr>
            <w:tcW w:w="1417" w:type="dxa"/>
          </w:tcPr>
          <w:p w:rsidR="005223EB" w:rsidRPr="003F2087" w:rsidRDefault="005223EB" w:rsidP="00046406">
            <w:pPr>
              <w:ind w:left="-95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205,00</w:t>
            </w:r>
          </w:p>
        </w:tc>
        <w:tc>
          <w:tcPr>
            <w:tcW w:w="992" w:type="dxa"/>
          </w:tcPr>
          <w:p w:rsidR="005223EB" w:rsidRPr="003F2087" w:rsidRDefault="005223EB" w:rsidP="00046406">
            <w:pPr>
              <w:ind w:left="-95" w:right="-122"/>
              <w:jc w:val="center"/>
              <w:rPr>
                <w:color w:val="000000"/>
                <w:sz w:val="24"/>
                <w:szCs w:val="24"/>
              </w:rPr>
            </w:pPr>
            <w:r w:rsidRPr="003F2087">
              <w:rPr>
                <w:color w:val="000000"/>
                <w:sz w:val="24"/>
                <w:szCs w:val="24"/>
              </w:rPr>
              <w:t>232,00</w:t>
            </w:r>
          </w:p>
        </w:tc>
      </w:tr>
    </w:tbl>
    <w:p w:rsidR="005223EB" w:rsidRDefault="005223EB" w:rsidP="005223EB">
      <w:pPr>
        <w:ind w:right="-307"/>
        <w:rPr>
          <w:b/>
          <w:i/>
        </w:rPr>
      </w:pPr>
    </w:p>
    <w:sectPr w:rsidR="005223EB" w:rsidSect="009F146A">
      <w:pgSz w:w="11906" w:h="16838"/>
      <w:pgMar w:top="851" w:right="567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29"/>
    <w:rsid w:val="00001A15"/>
    <w:rsid w:val="00012F33"/>
    <w:rsid w:val="00046406"/>
    <w:rsid w:val="00055821"/>
    <w:rsid w:val="00065CFA"/>
    <w:rsid w:val="00071FA3"/>
    <w:rsid w:val="00084E29"/>
    <w:rsid w:val="00084FB9"/>
    <w:rsid w:val="00090AC9"/>
    <w:rsid w:val="00092FDF"/>
    <w:rsid w:val="00095D0A"/>
    <w:rsid w:val="000C1176"/>
    <w:rsid w:val="000D78A7"/>
    <w:rsid w:val="000F4AB4"/>
    <w:rsid w:val="0015316E"/>
    <w:rsid w:val="00164E4C"/>
    <w:rsid w:val="00165121"/>
    <w:rsid w:val="00194B3C"/>
    <w:rsid w:val="001F28FF"/>
    <w:rsid w:val="00215B54"/>
    <w:rsid w:val="00225996"/>
    <w:rsid w:val="002619D8"/>
    <w:rsid w:val="002906C1"/>
    <w:rsid w:val="00294578"/>
    <w:rsid w:val="002B68B4"/>
    <w:rsid w:val="002F4CB8"/>
    <w:rsid w:val="00303CCC"/>
    <w:rsid w:val="00385745"/>
    <w:rsid w:val="00390418"/>
    <w:rsid w:val="00391F79"/>
    <w:rsid w:val="003B1E07"/>
    <w:rsid w:val="003F2087"/>
    <w:rsid w:val="00403667"/>
    <w:rsid w:val="00416F3C"/>
    <w:rsid w:val="00434A32"/>
    <w:rsid w:val="00454687"/>
    <w:rsid w:val="00461C28"/>
    <w:rsid w:val="00481B7B"/>
    <w:rsid w:val="004A1B86"/>
    <w:rsid w:val="004A317D"/>
    <w:rsid w:val="004C2047"/>
    <w:rsid w:val="004D2B7A"/>
    <w:rsid w:val="004D64AF"/>
    <w:rsid w:val="004F41F3"/>
    <w:rsid w:val="00504A25"/>
    <w:rsid w:val="005223EB"/>
    <w:rsid w:val="00524C3E"/>
    <w:rsid w:val="00557F71"/>
    <w:rsid w:val="0057580C"/>
    <w:rsid w:val="005F5A15"/>
    <w:rsid w:val="005F64E4"/>
    <w:rsid w:val="0061280D"/>
    <w:rsid w:val="0061476A"/>
    <w:rsid w:val="006168ED"/>
    <w:rsid w:val="0065006D"/>
    <w:rsid w:val="00653327"/>
    <w:rsid w:val="00656981"/>
    <w:rsid w:val="00682429"/>
    <w:rsid w:val="006F3E68"/>
    <w:rsid w:val="0071147C"/>
    <w:rsid w:val="00720320"/>
    <w:rsid w:val="007252DD"/>
    <w:rsid w:val="00755462"/>
    <w:rsid w:val="00757F15"/>
    <w:rsid w:val="007802DD"/>
    <w:rsid w:val="007814E7"/>
    <w:rsid w:val="007B0BD0"/>
    <w:rsid w:val="007B7C72"/>
    <w:rsid w:val="007F7761"/>
    <w:rsid w:val="00813422"/>
    <w:rsid w:val="008203FD"/>
    <w:rsid w:val="00820447"/>
    <w:rsid w:val="0086615E"/>
    <w:rsid w:val="008E50B6"/>
    <w:rsid w:val="008F08F6"/>
    <w:rsid w:val="009344D9"/>
    <w:rsid w:val="00995E1A"/>
    <w:rsid w:val="009A4A6E"/>
    <w:rsid w:val="009D1B81"/>
    <w:rsid w:val="009F146A"/>
    <w:rsid w:val="00A22929"/>
    <w:rsid w:val="00A4597F"/>
    <w:rsid w:val="00A4700B"/>
    <w:rsid w:val="00A67407"/>
    <w:rsid w:val="00A71564"/>
    <w:rsid w:val="00A83158"/>
    <w:rsid w:val="00A9641C"/>
    <w:rsid w:val="00AB5A73"/>
    <w:rsid w:val="00B072BA"/>
    <w:rsid w:val="00B255BF"/>
    <w:rsid w:val="00B50E45"/>
    <w:rsid w:val="00B5382A"/>
    <w:rsid w:val="00BE0C38"/>
    <w:rsid w:val="00BF304F"/>
    <w:rsid w:val="00C02C16"/>
    <w:rsid w:val="00C13F93"/>
    <w:rsid w:val="00C223D1"/>
    <w:rsid w:val="00C434B1"/>
    <w:rsid w:val="00C53B80"/>
    <w:rsid w:val="00C67734"/>
    <w:rsid w:val="00C74632"/>
    <w:rsid w:val="00C92D47"/>
    <w:rsid w:val="00CB2C32"/>
    <w:rsid w:val="00CC5D73"/>
    <w:rsid w:val="00D32B22"/>
    <w:rsid w:val="00D40335"/>
    <w:rsid w:val="00E12EDE"/>
    <w:rsid w:val="00E20A6B"/>
    <w:rsid w:val="00E723DE"/>
    <w:rsid w:val="00E72B22"/>
    <w:rsid w:val="00E76903"/>
    <w:rsid w:val="00EE7913"/>
    <w:rsid w:val="00F13636"/>
    <w:rsid w:val="00F27099"/>
    <w:rsid w:val="00F52E93"/>
    <w:rsid w:val="00F72BB3"/>
    <w:rsid w:val="00FA50BE"/>
    <w:rsid w:val="00FC0F53"/>
    <w:rsid w:val="00FC5F26"/>
    <w:rsid w:val="00F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4538730-E27B-41FA-AF21-282D53B7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eastAsia="Calibri" w:hAnsi="Calibri"/>
      <w:sz w:val="22"/>
      <w:szCs w:val="22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 w:themeColor="accent1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A317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674394681251856E-2"/>
          <c:y val="8.6940383173513297E-2"/>
          <c:w val="0.93637541933517798"/>
          <c:h val="0.598735756807069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Лист1!$B$7</c:f>
              <c:strCache>
                <c:ptCount val="1"/>
                <c:pt idx="0">
                  <c:v>2015 г.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pPr>
              <a:solidFill>
                <a:schemeClr val="accent1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1"/>
              <c:layout>
                <c:manualLayout>
                  <c:x val="-3.9449978255917527E-2"/>
                  <c:y val="9.7485033392109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3280849226151746E-2"/>
                  <c:y val="0.1054936438002976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Лист1!$A$8:$A$11</c:f>
              <c:strCache>
                <c:ptCount val="4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янв.-апр.</c:v>
                </c:pt>
              </c:strCache>
            </c:strRef>
          </c:cat>
          <c:val>
            <c:numRef>
              <c:f>Лист1!$B$8:$B$11</c:f>
              <c:numCache>
                <c:formatCode>0.0</c:formatCode>
                <c:ptCount val="4"/>
                <c:pt idx="0">
                  <c:v>102.8</c:v>
                </c:pt>
                <c:pt idx="1">
                  <c:v>99.3</c:v>
                </c:pt>
                <c:pt idx="2">
                  <c:v>99.4</c:v>
                </c:pt>
                <c:pt idx="3">
                  <c:v>100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Лист1!$C$7</c:f>
              <c:strCache>
                <c:ptCount val="1"/>
                <c:pt idx="0">
                  <c:v>2016 г.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diamond"/>
            <c:size val="7"/>
            <c:spPr>
              <a:solidFill>
                <a:srgbClr val="FF0000"/>
              </a:solidFill>
              <a:ln>
                <a:solidFill>
                  <a:srgbClr val="FF0000">
                    <a:alpha val="0"/>
                  </a:srgbClr>
                </a:solidFill>
              </a:ln>
            </c:spPr>
          </c:marker>
          <c:dLbls>
            <c:dLbl>
              <c:idx val="0"/>
              <c:layout>
                <c:manualLayout>
                  <c:x val="-4.5589161184880156E-2"/>
                  <c:y val="0.100805037409172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666001083389402E-2"/>
                  <c:y val="-9.01862664375776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3903095603498232E-2"/>
                  <c:y val="0.115489220437093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Лист1!$A$8:$A$11</c:f>
              <c:strCache>
                <c:ptCount val="4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янв.-апр.</c:v>
                </c:pt>
              </c:strCache>
            </c:strRef>
          </c:cat>
          <c:val>
            <c:numRef>
              <c:f>Лист1!$C$8:$C$11</c:f>
              <c:numCache>
                <c:formatCode>0.0</c:formatCode>
                <c:ptCount val="4"/>
                <c:pt idx="0">
                  <c:v>99</c:v>
                </c:pt>
                <c:pt idx="1">
                  <c:v>102</c:v>
                </c:pt>
                <c:pt idx="2">
                  <c:v>104.5</c:v>
                </c:pt>
                <c:pt idx="3">
                  <c:v>99.5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407135520"/>
        <c:axId val="-1407133344"/>
      </c:lineChart>
      <c:catAx>
        <c:axId val="-140713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0" kern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1407133344"/>
        <c:crosses val="autoZero"/>
        <c:auto val="1"/>
        <c:lblAlgn val="ctr"/>
        <c:lblOffset val="50"/>
        <c:noMultiLvlLbl val="0"/>
      </c:catAx>
      <c:valAx>
        <c:axId val="-1407133344"/>
        <c:scaling>
          <c:orientation val="minMax"/>
        </c:scaling>
        <c:delete val="0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14071355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4397536373450776E-2"/>
          <c:y val="0.8651870861764277"/>
          <c:w val="0.83973445821254022"/>
          <c:h val="9.5658066576809767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028039628849221"/>
          <c:y val="4.9843384961495193E-2"/>
          <c:w val="0.68429004640988533"/>
          <c:h val="0.6666560070779669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3"/>
              <c:layout>
                <c:manualLayout>
                  <c:x val="0"/>
                  <c:y val="4.3478260869565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1652169931978203E-2"/>
                  <c:y val="6.36584113861818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Центральный</c:v>
                </c:pt>
                <c:pt idx="1">
                  <c:v>Октябрьский </c:v>
                </c:pt>
                <c:pt idx="2">
                  <c:v>Ленинский</c:v>
                </c:pt>
                <c:pt idx="3">
                  <c:v>Индустриальный</c:v>
                </c:pt>
                <c:pt idx="4">
                  <c:v>Железнодорожный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99.7</c:v>
                </c:pt>
                <c:pt idx="1">
                  <c:v>102.6</c:v>
                </c:pt>
                <c:pt idx="2">
                  <c:v>87.2</c:v>
                </c:pt>
                <c:pt idx="3">
                  <c:v>105.8</c:v>
                </c:pt>
                <c:pt idx="4">
                  <c:v>100.3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2"/>
              <c:layout>
                <c:manualLayout>
                  <c:x val="-7.0422535211267694E-3"/>
                  <c:y val="6.5217391304347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4.3478260869565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Центральный</c:v>
                </c:pt>
                <c:pt idx="1">
                  <c:v>Октябрьский </c:v>
                </c:pt>
                <c:pt idx="2">
                  <c:v>Ленинский</c:v>
                </c:pt>
                <c:pt idx="3">
                  <c:v>Индустриальный</c:v>
                </c:pt>
                <c:pt idx="4">
                  <c:v>Железнодорожный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89.6</c:v>
                </c:pt>
                <c:pt idx="1">
                  <c:v>96.7</c:v>
                </c:pt>
                <c:pt idx="2">
                  <c:v>105.7</c:v>
                </c:pt>
                <c:pt idx="3">
                  <c:v>108.5</c:v>
                </c:pt>
                <c:pt idx="4">
                  <c:v>84.5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407128448"/>
        <c:axId val="-1334731264"/>
      </c:barChart>
      <c:catAx>
        <c:axId val="-14071284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1334731264"/>
        <c:crossesAt val="100"/>
        <c:auto val="1"/>
        <c:lblAlgn val="ctr"/>
        <c:lblOffset val="1"/>
        <c:tickLblSkip val="1"/>
        <c:tickMarkSkip val="3"/>
        <c:noMultiLvlLbl val="0"/>
      </c:catAx>
      <c:valAx>
        <c:axId val="-1334731264"/>
        <c:scaling>
          <c:orientation val="minMax"/>
          <c:max val="130"/>
          <c:min val="70"/>
        </c:scaling>
        <c:delete val="0"/>
        <c:axPos val="b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1407128448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.11647665520683156"/>
          <c:y val="0.87572034264947707"/>
          <c:w val="0.78582603230934178"/>
          <c:h val="8.7649620720486862E-2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328050554190276E-2"/>
          <c:y val="4.3081465778316175E-2"/>
          <c:w val="0.88949651110684336"/>
          <c:h val="0.626372328458942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жилья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28455284552845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130081300813007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097560975609756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январь-апрель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4"/>
                <c:pt idx="0">
                  <c:v>97.8</c:v>
                </c:pt>
                <c:pt idx="1">
                  <c:v>115.7</c:v>
                </c:pt>
                <c:pt idx="2">
                  <c:v>157.1</c:v>
                </c:pt>
                <c:pt idx="3">
                  <c:v>192.8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9B4A07"/>
            </a:solidFill>
          </c:spPr>
          <c:invertIfNegative val="0"/>
          <c:dLbls>
            <c:dLbl>
              <c:idx val="0"/>
              <c:layout>
                <c:manualLayout>
                  <c:x val="4.878048780487816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52032520325203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439024390243902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2520325203252036E-2"/>
                  <c:y val="-4.243778136006691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январь-апрель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4"/>
                <c:pt idx="0">
                  <c:v>10.1</c:v>
                </c:pt>
                <c:pt idx="1">
                  <c:v>19.7</c:v>
                </c:pt>
                <c:pt idx="2">
                  <c:v>34</c:v>
                </c:pt>
                <c:pt idx="3">
                  <c:v>41.1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январь-апрель</c:v>
                </c:pt>
              </c:strCache>
            </c:strRef>
          </c:cat>
          <c:val>
            <c:numRef>
              <c:f>Лист1!$D$2:$D$6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334735072"/>
        <c:axId val="-1287650848"/>
        <c:axId val="0"/>
      </c:bar3DChart>
      <c:catAx>
        <c:axId val="-1334735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/>
          <a:lstStyle/>
          <a:p>
            <a:pPr>
              <a:defRPr spc="-3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12876508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287650848"/>
        <c:scaling>
          <c:orientation val="minMax"/>
          <c:max val="12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1334735072"/>
        <c:crosses val="autoZero"/>
        <c:crossBetween val="between"/>
        <c:majorUnit val="20"/>
        <c:minorUnit val="10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978650534536842"/>
          <c:y val="4.8832271762208092E-2"/>
          <c:w val="0.88949651110684336"/>
          <c:h val="0.626372328458942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жилья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dLbl>
              <c:idx val="2"/>
              <c:layout>
                <c:manualLayout>
                  <c:x val="0.10569105691056917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097560975609756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январь-апрель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4"/>
                <c:pt idx="0">
                  <c:v>39</c:v>
                </c:pt>
                <c:pt idx="1">
                  <c:v>76</c:v>
                </c:pt>
                <c:pt idx="2">
                  <c:v>127.1</c:v>
                </c:pt>
                <c:pt idx="3">
                  <c:v>171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9B4A07"/>
            </a:solidFill>
          </c:spPr>
          <c:invertIfNegative val="0"/>
          <c:dLbls>
            <c:dLbl>
              <c:idx val="0"/>
              <c:layout>
                <c:manualLayout>
                  <c:x val="3.252032520325203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715447154471587E-2"/>
                  <c:y val="-9.25925925925926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658536585365861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065040650406504E-2"/>
                  <c:y val="-2.77777777777778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январь-апрель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4"/>
                <c:pt idx="0">
                  <c:v>3.9</c:v>
                </c:pt>
                <c:pt idx="1">
                  <c:v>9.8000000000000007</c:v>
                </c:pt>
                <c:pt idx="2">
                  <c:v>13.9</c:v>
                </c:pt>
                <c:pt idx="3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январь-апрель</c:v>
                </c:pt>
              </c:strCache>
            </c:strRef>
          </c:cat>
          <c:val>
            <c:numRef>
              <c:f>Лист1!$D$2:$D$6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163951408"/>
        <c:axId val="-1163957392"/>
        <c:axId val="0"/>
      </c:bar3DChart>
      <c:catAx>
        <c:axId val="-1163951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/>
          <a:lstStyle/>
          <a:p>
            <a:pPr>
              <a:defRPr sz="1000" spc="-3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11639573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163957392"/>
        <c:scaling>
          <c:orientation val="minMax"/>
          <c:max val="12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1163951408"/>
        <c:crosses val="autoZero"/>
        <c:crossBetween val="between"/>
        <c:majorUnit val="20"/>
        <c:minorUnit val="10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245069940970035E-2"/>
          <c:y val="4.8411336223421517E-2"/>
          <c:w val="0.90874689514385454"/>
          <c:h val="0.542350820605255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г.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dLbl>
              <c:idx val="4"/>
              <c:layout>
                <c:manualLayout>
                  <c:x val="1.2771392081736901E-2"/>
                  <c:y val="-6.41025641025641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на 1.01</c:v>
                </c:pt>
                <c:pt idx="1">
                  <c:v>на 1.02</c:v>
                </c:pt>
                <c:pt idx="2">
                  <c:v>на 1.03</c:v>
                </c:pt>
                <c:pt idx="3">
                  <c:v>на 1.04</c:v>
                </c:pt>
                <c:pt idx="4">
                  <c:v>на 1.05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9.4</c:v>
                </c:pt>
                <c:pt idx="1">
                  <c:v>74.099999999999994</c:v>
                </c:pt>
                <c:pt idx="2">
                  <c:v>86.7</c:v>
                </c:pt>
                <c:pt idx="3">
                  <c:v>100.1</c:v>
                </c:pt>
                <c:pt idx="4">
                  <c:v>56.9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2.8097062579821228E-2"/>
                  <c:y val="-6.41025641025641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205619412516048E-2"/>
                  <c:y val="1.282051282051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8097062579821228E-2"/>
                  <c:y val="1.2820512820512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434227330779056E-2"/>
                  <c:y val="1.2820008075913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5542784163473831E-2"/>
                  <c:y val="-1.923076923076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на 1.01</c:v>
                </c:pt>
                <c:pt idx="1">
                  <c:v>на 1.02</c:v>
                </c:pt>
                <c:pt idx="2">
                  <c:v>на 1.03</c:v>
                </c:pt>
                <c:pt idx="3">
                  <c:v>на 1.04</c:v>
                </c:pt>
                <c:pt idx="4">
                  <c:v>на 1.05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16</c:v>
                </c:pt>
                <c:pt idx="1">
                  <c:v>12.6</c:v>
                </c:pt>
                <c:pt idx="2">
                  <c:v>12.5</c:v>
                </c:pt>
                <c:pt idx="3">
                  <c:v>14</c:v>
                </c:pt>
                <c:pt idx="4">
                  <c:v>14.7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на 1.01</c:v>
                </c:pt>
                <c:pt idx="1">
                  <c:v>на 1.02</c:v>
                </c:pt>
                <c:pt idx="2">
                  <c:v>на 1.03</c:v>
                </c:pt>
                <c:pt idx="3">
                  <c:v>на 1.04</c:v>
                </c:pt>
                <c:pt idx="4">
                  <c:v>на 1.05</c:v>
                </c:pt>
              </c:strCache>
            </c:strRef>
          </c:cat>
          <c:val>
            <c:numRef>
              <c:f>Лист1!$D$2:$D$6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161511712"/>
        <c:axId val="-1161512256"/>
        <c:axId val="0"/>
      </c:bar3DChart>
      <c:catAx>
        <c:axId val="-1161511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pc="-3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1161512256"/>
        <c:crosses val="autoZero"/>
        <c:auto val="1"/>
        <c:lblAlgn val="ctr"/>
        <c:lblOffset val="100"/>
        <c:noMultiLvlLbl val="0"/>
      </c:catAx>
      <c:valAx>
        <c:axId val="-1161512256"/>
        <c:scaling>
          <c:orientation val="minMax"/>
          <c:max val="12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1161511712"/>
        <c:crosses val="autoZero"/>
        <c:crossBetween val="between"/>
        <c:majorUnit val="20"/>
        <c:minorUnit val="10"/>
      </c:valAx>
    </c:plotArea>
    <c:legend>
      <c:legendPos val="r"/>
      <c:layout>
        <c:manualLayout>
          <c:xMode val="edge"/>
          <c:yMode val="edge"/>
          <c:x val="0.26419545257992177"/>
          <c:y val="0.74605259248254341"/>
          <c:w val="0.47782242736899311"/>
          <c:h val="0.1276015217198972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04869494175482"/>
          <c:y val="0.19489981785063754"/>
          <c:w val="0.88895129057458855"/>
          <c:h val="0.544526426582463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бюджета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7236210974231198E-2"/>
                  <c:y val="-5.33968498761841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225060076175641E-2"/>
                  <c:y val="-5.0887411666377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5664701529392602E-3"/>
                  <c:y val="4.87170336143090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627816058123561E-3"/>
                  <c:y val="2.5250742858960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0967954572783237E-17"/>
                  <c:y val="2.5250742858960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5407193819082692E-3"/>
                  <c:y val="6.62630416180588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1.89380571442205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2758518116377575E-16"/>
                  <c:y val="1.8624336141404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01.05.2015 </c:v>
                </c:pt>
                <c:pt idx="1">
                  <c:v>на 01.05.2016 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3186.5</c:v>
                </c:pt>
                <c:pt idx="1">
                  <c:v>2936.4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 бюджета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1930321134466151E-2"/>
                  <c:y val="-4.67120873775121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4164489993634618E-2"/>
                  <c:y val="-5.4004931933628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9005949877741068E-3"/>
                  <c:y val="3.82364841422351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2656389782263145E-2"/>
                  <c:y val="2.19048589719806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5470085470085496E-3"/>
                  <c:y val="1.78571428571428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5.2136713641774534E-3"/>
                  <c:y val="2.9401706512802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7479534648013E-2"/>
                  <c:y val="6.34920634920639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9.9766896348749239E-3"/>
                  <c:y val="1.89380571442205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7.8836272226538977E-3"/>
                  <c:y val="2.85637923841130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9.9766896348749239E-3"/>
                  <c:y val="2.5250742858960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8779342723004692E-2"/>
                  <c:y val="9.3121680707021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7398180232543803E-2"/>
                  <c:y val="2.3280420176755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01.05.2015 </c:v>
                </c:pt>
                <c:pt idx="1">
                  <c:v>на 01.05.2016 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2351.1</c:v>
                </c:pt>
                <c:pt idx="1">
                  <c:v>2413.5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161507904"/>
        <c:axId val="-1161516608"/>
        <c:axId val="0"/>
      </c:bar3DChart>
      <c:catAx>
        <c:axId val="-1161507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aseline="0">
                <a:latin typeface="Times New Roman" pitchFamily="18" charset="0"/>
              </a:defRPr>
            </a:pPr>
            <a:endParaRPr lang="ru-RU"/>
          </a:p>
        </c:txPr>
        <c:crossAx val="-1161516608"/>
        <c:crosses val="autoZero"/>
        <c:auto val="1"/>
        <c:lblAlgn val="ctr"/>
        <c:lblOffset val="100"/>
        <c:noMultiLvlLbl val="0"/>
      </c:catAx>
      <c:valAx>
        <c:axId val="-1161516608"/>
        <c:scaling>
          <c:orientation val="minMax"/>
          <c:max val="4000"/>
          <c:min val="0"/>
        </c:scaling>
        <c:delete val="0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000" baseline="0">
                <a:latin typeface="Times New Roman" pitchFamily="18" charset="0"/>
              </a:defRPr>
            </a:pPr>
            <a:endParaRPr lang="ru-RU"/>
          </a:p>
        </c:txPr>
        <c:crossAx val="-1161507904"/>
        <c:crosses val="autoZero"/>
        <c:crossBetween val="between"/>
        <c:majorUnit val="1000"/>
        <c:minorUnit val="100"/>
      </c:valAx>
    </c:plotArea>
    <c:legend>
      <c:legendPos val="b"/>
      <c:layout>
        <c:manualLayout>
          <c:xMode val="edge"/>
          <c:yMode val="edge"/>
          <c:x val="0.24572507148592124"/>
          <c:y val="0.86009437344922079"/>
          <c:w val="0.47989995720746725"/>
          <c:h val="0.1185834765578160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EF39A-D3A3-42E4-86C4-5618DA27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travyanova.yai</dc:creator>
  <cp:lastModifiedBy>Евгения Константиновна  Борисова</cp:lastModifiedBy>
  <cp:revision>3</cp:revision>
  <cp:lastPrinted>2016-05-30T09:04:00Z</cp:lastPrinted>
  <dcterms:created xsi:type="dcterms:W3CDTF">2016-06-01T02:18:00Z</dcterms:created>
  <dcterms:modified xsi:type="dcterms:W3CDTF">2016-06-01T02:18:00Z</dcterms:modified>
</cp:coreProperties>
</file>