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EF" w:rsidRPr="006756EF" w:rsidRDefault="006756EF" w:rsidP="006756EF">
      <w:pPr>
        <w:jc w:val="center"/>
        <w:rPr>
          <w:lang w:val="ru-RU"/>
        </w:rPr>
      </w:pPr>
      <w:r w:rsidRPr="00D03A66">
        <w:rPr>
          <w:rFonts w:ascii="Times New Roman" w:eastAsia="Cambria" w:hAnsi="Times New Roman" w:cs="Times New Roman"/>
          <w:color w:val="auto"/>
          <w:sz w:val="24"/>
          <w:lang w:val="ru-RU"/>
        </w:rPr>
        <w:t>Программ</w:t>
      </w:r>
      <w:r>
        <w:rPr>
          <w:rFonts w:ascii="Times New Roman" w:eastAsia="Cambria" w:hAnsi="Times New Roman" w:cs="Times New Roman"/>
          <w:color w:val="auto"/>
          <w:sz w:val="24"/>
          <w:lang w:val="ru-RU"/>
        </w:rPr>
        <w:t>а</w:t>
      </w:r>
      <w:bookmarkStart w:id="0" w:name="_GoBack"/>
      <w:bookmarkEnd w:id="0"/>
      <w:r w:rsidRPr="00D03A66">
        <w:rPr>
          <w:rFonts w:ascii="Times New Roman" w:eastAsia="Cambria" w:hAnsi="Times New Roman" w:cs="Times New Roman"/>
          <w:color w:val="auto"/>
          <w:sz w:val="24"/>
          <w:lang w:val="ru-RU"/>
        </w:rPr>
        <w:t xml:space="preserve"> льготного кредитования субъектов малого и среднего предпринимательства</w:t>
      </w:r>
    </w:p>
    <w:tbl>
      <w:tblPr>
        <w:tblW w:w="10913" w:type="dxa"/>
        <w:tblCellMar>
          <w:top w:w="51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2826"/>
        <w:gridCol w:w="8087"/>
      </w:tblGrid>
      <w:tr w:rsidR="006756EF" w:rsidRPr="00D03A66" w:rsidTr="0022435A">
        <w:trPr>
          <w:trHeight w:val="1160"/>
        </w:trPr>
        <w:tc>
          <w:tcPr>
            <w:tcW w:w="2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Целевое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использование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кредитов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• Инвестиционные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 </w:t>
            </w:r>
          </w:p>
        </w:tc>
      </w:tr>
      <w:tr w:rsidR="006756EF" w:rsidRPr="00D03A66" w:rsidTr="0022435A">
        <w:trPr>
          <w:trHeight w:val="1256"/>
        </w:trPr>
        <w:tc>
          <w:tcPr>
            <w:tcW w:w="2826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Размер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кредита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756EF" w:rsidRPr="00D03A66" w:rsidRDefault="006756EF" w:rsidP="002243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Не менее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5 млн. рублей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 и не более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1 млрд. рублей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; </w:t>
            </w:r>
          </w:p>
          <w:p w:rsidR="006756EF" w:rsidRPr="00D03A66" w:rsidRDefault="006756EF" w:rsidP="002243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Общий размер кредитных средств, привлеченных одним конечным заемщиком в рамках Программы 674 не может превышать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4 млрд. рублей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. </w:t>
            </w:r>
          </w:p>
        </w:tc>
      </w:tr>
      <w:tr w:rsidR="006756EF" w:rsidRPr="00D03A66" w:rsidTr="0022435A">
        <w:trPr>
          <w:trHeight w:val="1003"/>
        </w:trPr>
        <w:tc>
          <w:tcPr>
            <w:tcW w:w="2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Процентные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ставки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по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кредитам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</w:tcPr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Конечная ставка:  </w:t>
            </w:r>
          </w:p>
          <w:p w:rsidR="006756EF" w:rsidRPr="00D03A66" w:rsidRDefault="006756EF" w:rsidP="0022435A">
            <w:pPr>
              <w:spacing w:after="0"/>
              <w:ind w:left="11" w:right="189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• для заемщиков субъектов малого бизнеса –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10,6</w:t>
            </w:r>
            <w:proofErr w:type="gram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%;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  •</w:t>
            </w:r>
            <w:proofErr w:type="gramEnd"/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 для заемщиков субъектов среднего бизнеса –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9,6%.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</w:tc>
      </w:tr>
      <w:tr w:rsidR="006756EF" w:rsidRPr="00D03A66" w:rsidTr="0022435A">
        <w:trPr>
          <w:trHeight w:val="700"/>
        </w:trPr>
        <w:tc>
          <w:tcPr>
            <w:tcW w:w="2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Сроки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кредитования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• срок кредитного договора (соглашения), заключаемого с заемщиком, составляет </w:t>
            </w:r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  <w:lang w:val="ru-RU"/>
              </w:rPr>
              <w:t>до 5 лет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</w:tc>
      </w:tr>
      <w:tr w:rsidR="006756EF" w:rsidRPr="00D03A66" w:rsidTr="0022435A">
        <w:trPr>
          <w:trHeight w:val="6491"/>
        </w:trPr>
        <w:tc>
          <w:tcPr>
            <w:tcW w:w="282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Требования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к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заёмщикам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8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2EAF1"/>
          </w:tcPr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Заемщик должен удовлетворять следующим требованиям: </w:t>
            </w:r>
          </w:p>
          <w:p w:rsidR="006756EF" w:rsidRPr="00D03A66" w:rsidRDefault="006756EF" w:rsidP="0022435A">
            <w:pPr>
              <w:spacing w:after="2" w:line="238" w:lineRule="auto"/>
              <w:ind w:left="11" w:right="5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1.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 2. Осуществлять деятельность в одной или нескольких приоритетных отраслях экономики (прилагается); </w:t>
            </w:r>
          </w:p>
          <w:p w:rsidR="006756EF" w:rsidRPr="00D03A66" w:rsidRDefault="006756EF" w:rsidP="0022435A">
            <w:pPr>
              <w:spacing w:after="0" w:line="238" w:lineRule="auto"/>
              <w:ind w:left="11" w:right="194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3. Обладать статусом налогового резидента Российской Федерации; 4. В отношении заемщика не должно быть возбуждено производство </w:t>
            </w:r>
          </w:p>
          <w:p w:rsidR="006756EF" w:rsidRPr="00D03A66" w:rsidRDefault="006756EF" w:rsidP="0022435A">
            <w:pPr>
              <w:spacing w:after="2" w:line="238" w:lineRule="auto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по делу о несостоятельности (банкротстве) в соответствии с законодательством Российской Федерации о несостоятельности </w:t>
            </w:r>
          </w:p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>(</w:t>
            </w:r>
            <w:proofErr w:type="spellStart"/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>банкротстве</w:t>
            </w:r>
            <w:proofErr w:type="spellEnd"/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); </w:t>
            </w:r>
          </w:p>
          <w:p w:rsidR="006756EF" w:rsidRPr="00D03A66" w:rsidRDefault="006756EF" w:rsidP="0022435A">
            <w:pPr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 </w:t>
            </w:r>
          </w:p>
          <w:p w:rsidR="006756EF" w:rsidRPr="00D03A66" w:rsidRDefault="006756EF" w:rsidP="00224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Не иметь задолженности перед работниками (персоналом) по заработной плате; </w:t>
            </w:r>
          </w:p>
          <w:p w:rsidR="006756EF" w:rsidRPr="00D03A66" w:rsidRDefault="006756EF" w:rsidP="0022435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 </w:t>
            </w:r>
          </w:p>
        </w:tc>
      </w:tr>
      <w:tr w:rsidR="006756EF" w:rsidRPr="00D03A66" w:rsidTr="0022435A">
        <w:trPr>
          <w:trHeight w:val="1015"/>
        </w:trPr>
        <w:tc>
          <w:tcPr>
            <w:tcW w:w="2826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756EF" w:rsidRPr="00D03A66" w:rsidRDefault="006756EF" w:rsidP="0022435A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Перечень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уполномоченных</w:t>
            </w:r>
            <w:proofErr w:type="spellEnd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03A66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банков-партнёров</w:t>
            </w:r>
            <w:proofErr w:type="spellEnd"/>
            <w:r w:rsidRPr="00D03A66">
              <w:rPr>
                <w:rFonts w:ascii="Times New Roman" w:eastAsia="Cambria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Банк ВТБ (ПАО) </w:t>
            </w:r>
          </w:p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ПАО Сбербанк </w:t>
            </w:r>
          </w:p>
          <w:p w:rsidR="006756EF" w:rsidRPr="00D03A66" w:rsidRDefault="006756EF" w:rsidP="0022435A">
            <w:pPr>
              <w:spacing w:after="0"/>
              <w:ind w:left="1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>АО «</w:t>
            </w:r>
            <w:proofErr w:type="spellStart"/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>Россельхозбанк</w:t>
            </w:r>
            <w:proofErr w:type="spellEnd"/>
            <w:r w:rsidRPr="00D03A66">
              <w:rPr>
                <w:rFonts w:ascii="Times New Roman" w:eastAsia="Cambria" w:hAnsi="Times New Roman" w:cs="Times New Roman"/>
                <w:color w:val="auto"/>
                <w:sz w:val="24"/>
                <w:lang w:val="ru-RU"/>
              </w:rPr>
              <w:t xml:space="preserve">» </w:t>
            </w:r>
          </w:p>
        </w:tc>
      </w:tr>
    </w:tbl>
    <w:p w:rsidR="00CD1747" w:rsidRPr="006756EF" w:rsidRDefault="00CD1747">
      <w:pPr>
        <w:rPr>
          <w:lang w:val="ru-RU"/>
        </w:rPr>
      </w:pPr>
    </w:p>
    <w:sectPr w:rsidR="00CD1747" w:rsidRPr="006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9CC"/>
    <w:multiLevelType w:val="hybridMultilevel"/>
    <w:tmpl w:val="8DF21ECE"/>
    <w:lvl w:ilvl="0" w:tplc="23E2223A">
      <w:start w:val="5"/>
      <w:numFmt w:val="decimal"/>
      <w:lvlText w:val="%1."/>
      <w:lvlJc w:val="left"/>
      <w:pPr>
        <w:ind w:left="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889F0">
      <w:start w:val="1"/>
      <w:numFmt w:val="lowerLetter"/>
      <w:lvlText w:val="%2"/>
      <w:lvlJc w:val="left"/>
      <w:pPr>
        <w:ind w:left="1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27DE2">
      <w:start w:val="1"/>
      <w:numFmt w:val="lowerRoman"/>
      <w:lvlText w:val="%3"/>
      <w:lvlJc w:val="left"/>
      <w:pPr>
        <w:ind w:left="1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AD808">
      <w:start w:val="1"/>
      <w:numFmt w:val="decimal"/>
      <w:lvlText w:val="%4"/>
      <w:lvlJc w:val="left"/>
      <w:pPr>
        <w:ind w:left="2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E310">
      <w:start w:val="1"/>
      <w:numFmt w:val="lowerLetter"/>
      <w:lvlText w:val="%5"/>
      <w:lvlJc w:val="left"/>
      <w:pPr>
        <w:ind w:left="3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6B97E">
      <w:start w:val="1"/>
      <w:numFmt w:val="lowerRoman"/>
      <w:lvlText w:val="%6"/>
      <w:lvlJc w:val="left"/>
      <w:pPr>
        <w:ind w:left="4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2772">
      <w:start w:val="1"/>
      <w:numFmt w:val="decimal"/>
      <w:lvlText w:val="%7"/>
      <w:lvlJc w:val="left"/>
      <w:pPr>
        <w:ind w:left="4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A4CD4">
      <w:start w:val="1"/>
      <w:numFmt w:val="lowerLetter"/>
      <w:lvlText w:val="%8"/>
      <w:lvlJc w:val="left"/>
      <w:pPr>
        <w:ind w:left="5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C5C44">
      <w:start w:val="1"/>
      <w:numFmt w:val="lowerRoman"/>
      <w:lvlText w:val="%9"/>
      <w:lvlJc w:val="left"/>
      <w:pPr>
        <w:ind w:left="6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965E4"/>
    <w:multiLevelType w:val="hybridMultilevel"/>
    <w:tmpl w:val="67DCBD1A"/>
    <w:lvl w:ilvl="0" w:tplc="0568B0A0">
      <w:start w:val="1"/>
      <w:numFmt w:val="bullet"/>
      <w:lvlText w:val="•"/>
      <w:lvlJc w:val="left"/>
      <w:pPr>
        <w:ind w:left="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A5CC">
      <w:start w:val="1"/>
      <w:numFmt w:val="bullet"/>
      <w:lvlText w:val="o"/>
      <w:lvlJc w:val="left"/>
      <w:pPr>
        <w:ind w:left="1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AA1BA">
      <w:start w:val="1"/>
      <w:numFmt w:val="bullet"/>
      <w:lvlText w:val="▪"/>
      <w:lvlJc w:val="left"/>
      <w:pPr>
        <w:ind w:left="1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42AE">
      <w:start w:val="1"/>
      <w:numFmt w:val="bullet"/>
      <w:lvlText w:val="•"/>
      <w:lvlJc w:val="left"/>
      <w:pPr>
        <w:ind w:left="2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88E1A">
      <w:start w:val="1"/>
      <w:numFmt w:val="bullet"/>
      <w:lvlText w:val="o"/>
      <w:lvlJc w:val="left"/>
      <w:pPr>
        <w:ind w:left="3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C7828">
      <w:start w:val="1"/>
      <w:numFmt w:val="bullet"/>
      <w:lvlText w:val="▪"/>
      <w:lvlJc w:val="left"/>
      <w:pPr>
        <w:ind w:left="4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4401A">
      <w:start w:val="1"/>
      <w:numFmt w:val="bullet"/>
      <w:lvlText w:val="•"/>
      <w:lvlJc w:val="left"/>
      <w:pPr>
        <w:ind w:left="4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A10E4">
      <w:start w:val="1"/>
      <w:numFmt w:val="bullet"/>
      <w:lvlText w:val="o"/>
      <w:lvlJc w:val="left"/>
      <w:pPr>
        <w:ind w:left="5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A56BE">
      <w:start w:val="1"/>
      <w:numFmt w:val="bullet"/>
      <w:lvlText w:val="▪"/>
      <w:lvlJc w:val="left"/>
      <w:pPr>
        <w:ind w:left="6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E"/>
    <w:rsid w:val="00166015"/>
    <w:rsid w:val="00540F5E"/>
    <w:rsid w:val="006756EF"/>
    <w:rsid w:val="00CD1747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C5F1-B31B-4C62-8DAF-BAE5175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EF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2017-10-23T08:31:00Z</dcterms:created>
  <dcterms:modified xsi:type="dcterms:W3CDTF">2017-10-23T08:32:00Z</dcterms:modified>
</cp:coreProperties>
</file>