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B" w:rsidRPr="00CC65BF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CC65B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BB23BB" w:rsidRPr="00CC65BF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B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5" w:anchor="sub_0" w:history="1">
        <w:r w:rsidRPr="00CC65B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r w:rsidRPr="00CC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BB23BB" w:rsidRPr="00CC65BF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10.07.2017 №72р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3BB" w:rsidRPr="00BB23BB" w:rsidRDefault="00BB23BB" w:rsidP="00BB23B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</w:p>
    <w:p w:rsidR="00BB23BB" w:rsidRPr="00BB23BB" w:rsidRDefault="00BB23BB" w:rsidP="00BB23B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поступлений неналоговых доходов в бюджет города Барнаула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3BB" w:rsidRPr="00BB23BB" w:rsidRDefault="00BB23BB" w:rsidP="00BB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Arial"/>
          <w:sz w:val="28"/>
          <w:szCs w:val="28"/>
          <w:lang w:eastAsia="ru-RU"/>
        </w:rPr>
        <w:t>1.1.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3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Настоящая методика </w:t>
      </w:r>
      <w:proofErr w:type="gramStart"/>
      <w:r w:rsidRPr="00BB23BB">
        <w:rPr>
          <w:rFonts w:ascii="Times New Roman" w:eastAsia="Times New Roman" w:hAnsi="Times New Roman" w:cs="Arial"/>
          <w:sz w:val="28"/>
          <w:szCs w:val="28"/>
          <w:lang w:eastAsia="ru-RU"/>
        </w:rPr>
        <w:t>прогнозирования  поступлений</w:t>
      </w:r>
      <w:proofErr w:type="gramEnd"/>
      <w:r w:rsidRPr="00BB23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неналоговых доходов в бюджет города Барнаула (далее - методика)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основные принципы прогнозирования по всем кодам бюджетной классификации, главным администратором которых в соответствии с решением Барнаульской городской Думы о бюджете города на очередной финансовый год и на плановый период </w:t>
      </w:r>
      <w:r w:rsidRPr="00BB23BB">
        <w:rPr>
          <w:rFonts w:ascii="Times New Roman" w:eastAsia="Times New Roman" w:hAnsi="Times New Roman" w:cs="Arial"/>
          <w:sz w:val="28"/>
          <w:szCs w:val="28"/>
          <w:lang w:eastAsia="ru-RU"/>
        </w:rPr>
        <w:t>является комитет по земельным ресурсам и землеустройству города Барнаула.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по каждому виду доходов содержит: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доходов и соответствующий код бюджетной классификации;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метода расчета прогнозного объема поступлений;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описание фактического алгоритма (формулы);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всех показателей, используемых для расчета прогнозного объема поступлений, с указанием источника данных для соответствующего показателя.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и термины, используемые в методике, применяются в значениях, установленных нормами законодательства Российской Федерации.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Прогнозирование по видам доходов</w:t>
      </w:r>
    </w:p>
    <w:p w:rsidR="00BB23BB" w:rsidRPr="00BB23BB" w:rsidRDefault="00BB23BB" w:rsidP="00BB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доходов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, получаемых в виде арендной платы, а также средства от продажи права на заключение договоров </w:t>
      </w:r>
      <w:proofErr w:type="gramStart"/>
      <w:r w:rsidRPr="00BB23BB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находящиеся в собственности городских округов (за исключением земельных участков муниципальных бюджетных и автономных учреждений) (КБК 91511105024040000120), определяется методом прямого расчета с учетом динамики показателя собираемости в предшествующие периоды и рассчитывается по следующей формуле:</w:t>
      </w:r>
    </w:p>
    <w:p w:rsidR="00BB23BB" w:rsidRPr="00BB23BB" w:rsidRDefault="0027599B" w:rsidP="00BB23BB">
      <w:pPr>
        <w:overflowPunct w:val="0"/>
        <w:autoSpaceDE w:val="0"/>
        <w:autoSpaceDN w:val="0"/>
        <w:adjustRightInd w:val="0"/>
        <w:spacing w:after="0" w:line="1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0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vertAlign w:val="subscript"/>
                    </w:rPr>
                    <m:t>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vertAlign w:val="subscript"/>
                    </w:rPr>
                    <m:t>–ар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vertAlign w:val="subscript"/>
                    </w:rPr>
                    <m:t>ар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0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0"/>
            </w:rPr>
            <m:t>+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0"/>
            </w:rPr>
            <m:t>А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0"/>
            </w:rPr>
            <m:t>,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</w:rPr>
            <w:br/>
          </m:r>
        </m:oMath>
      </m:oMathPara>
      <w:r w:rsidR="00BB23BB"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BB">
        <w:rPr>
          <w:rFonts w:ascii="Times New Roman" w:eastAsia="Calibri" w:hAnsi="Times New Roman" w:cs="Times New Roman"/>
          <w:sz w:val="28"/>
          <w:szCs w:val="28"/>
        </w:rPr>
        <w:t>А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пл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прогноз доходов от арендной платы за земельные участки;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BB23B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заключенных договоров аренды земельных участков;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>Н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ар </w:t>
      </w:r>
      <w:r w:rsidRPr="00BB23BB">
        <w:rPr>
          <w:rFonts w:ascii="Times New Roman" w:eastAsia="Calibri" w:hAnsi="Times New Roman" w:cs="Times New Roman"/>
          <w:sz w:val="28"/>
          <w:szCs w:val="28"/>
        </w:rPr>
        <w:t>–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годовой арендной платы (начисления по действующим договорам аренды земельных участков, с учетом изменения коэффициентов, используемых при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расчете арендной платы, а так же размера кадастровой стоимости земельных участков и иных факторов, оказывающих влияние на размер арендной платы);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>С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–ар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сумма снижения арендной платы за земельные участки в связи </w:t>
      </w:r>
      <w:r w:rsidRPr="00BB23BB">
        <w:rPr>
          <w:rFonts w:ascii="Times New Roman" w:eastAsia="Calibri" w:hAnsi="Times New Roman" w:cs="Times New Roman"/>
          <w:sz w:val="28"/>
          <w:szCs w:val="28"/>
        </w:rPr>
        <w:br/>
        <w:t>с выбытием земель из арендных отношений (продажа земельных участков, переоформления права аренды на иное право);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BB">
        <w:rPr>
          <w:rFonts w:ascii="Times New Roman" w:eastAsia="Calibri" w:hAnsi="Times New Roman" w:cs="Times New Roman"/>
          <w:sz w:val="28"/>
          <w:szCs w:val="28"/>
        </w:rPr>
        <w:t>С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+ар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сумма увеличения поступлений арендной платы в связи с планируемым заключением договоров аренды земельных участков);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23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уровня собираемости арендной платы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за 3 года или за весь период действия соответствующего вида дохода, если он не превышает 3 года.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</w:t>
      </w:r>
      <w:r w:rsidRPr="00BB23BB">
        <w:rPr>
          <w:rFonts w:ascii="Times New Roman" w:eastAsia="Calibri" w:hAnsi="Times New Roman" w:cs="Times New Roman"/>
          <w:sz w:val="28"/>
          <w:szCs w:val="28"/>
        </w:rPr>
        <w:t>суммы планируемых поступлений по результатам аукционов на право заключения договоров аренды земельных участков, находящихся в собственности городских округов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данных: договоры аренды земельных участков, показатели бухгалтерского учета, информация о планируемом проведении аукционов по продаже права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на заключение договоров </w:t>
      </w:r>
      <w:proofErr w:type="gramStart"/>
      <w:r w:rsidRPr="00BB23BB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находящиеся в собственности городских округов (за исключением земельных участков муниципальных бюджетных и автономных учреждений), нормативно-правовые акты (проекты нормативно-правовых актов).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BB23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доходов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, получаемых в виде арендной платы </w:t>
      </w:r>
      <w:r w:rsidRPr="00BB23BB">
        <w:rPr>
          <w:rFonts w:ascii="Times New Roman" w:eastAsia="Calibri" w:hAnsi="Times New Roman" w:cs="Times New Roman"/>
          <w:sz w:val="28"/>
          <w:szCs w:val="28"/>
        </w:rPr>
        <w:br/>
        <w:t>за земельные участки, государственная собственность на которые не разграничена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которые расположены в границах городских округов</w:t>
      </w:r>
      <w:r w:rsidRPr="00BB23BB">
        <w:rPr>
          <w:rFonts w:ascii="Times New Roman" w:eastAsia="Calibri" w:hAnsi="Times New Roman" w:cs="Times New Roman"/>
          <w:sz w:val="28"/>
          <w:szCs w:val="28"/>
        </w:rPr>
        <w:t>, а также средства от продажи права на заключение договоров аренды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</w:t>
      </w:r>
      <w:proofErr w:type="gramStart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 участков</w:t>
      </w:r>
      <w:proofErr w:type="gramEnd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(КБК 91511105012040000120) определяется методом прямого расчета с учетом динамики показателя собираемости в предшествующие периоды и рассчитывается по следующей формуле:</w:t>
      </w:r>
    </w:p>
    <w:p w:rsidR="00BB23BB" w:rsidRPr="00BB23BB" w:rsidRDefault="0027599B" w:rsidP="00BB23BB">
      <w:pPr>
        <w:overflowPunct w:val="0"/>
        <w:autoSpaceDE w:val="0"/>
        <w:autoSpaceDN w:val="0"/>
        <w:adjustRightInd w:val="0"/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vertAlign w:val="subscript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0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</w:rPr>
                    <m:t>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</w:rPr>
                    <m:t>–ар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</w:rPr>
                    <m:t>ар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0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</w:rPr>
            <m:t>,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</w:rPr>
            <w:br/>
          </m:r>
        </m:oMath>
      </m:oMathPara>
      <w:r w:rsidR="00BB23BB"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BB">
        <w:rPr>
          <w:rFonts w:ascii="Times New Roman" w:eastAsia="Calibri" w:hAnsi="Times New Roman" w:cs="Times New Roman"/>
          <w:sz w:val="28"/>
          <w:szCs w:val="28"/>
        </w:rPr>
        <w:t>А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пл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прогноз доходов от арендной платы за земельные участки;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BB23B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заключенных договоров аренды земельных участков;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>Н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ар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годовой арендной платы (начисления по действующим договорам аренды земельных участков, с учетом изменения коэффициентов, используемых при расчете арендной платы, а так же размера кадастровой стоимости земельных участков и иных факторов, оказывающих влияние на размер арендной платы);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>С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–ар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– сумма снижения арендной платы за земельные участки в связи </w:t>
      </w:r>
      <w:r w:rsidRPr="00BB23BB">
        <w:rPr>
          <w:rFonts w:ascii="Times New Roman" w:eastAsia="Calibri" w:hAnsi="Times New Roman" w:cs="Times New Roman"/>
          <w:sz w:val="28"/>
          <w:szCs w:val="28"/>
        </w:rPr>
        <w:br/>
        <w:t>с выбытием земель из арендных отношений (продажа земельных участков, переоформления прав аренды на иное право, в том числе разграничения государственной собственности за землю);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BB">
        <w:rPr>
          <w:rFonts w:ascii="Times New Roman" w:eastAsia="Calibri" w:hAnsi="Times New Roman" w:cs="Times New Roman"/>
          <w:sz w:val="28"/>
          <w:szCs w:val="28"/>
        </w:rPr>
        <w:t>С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+ар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сумма увеличения поступлений арендной платы в связи с планируемым увеличением площадей земельных участков (заключение дополнительных договоров);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23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уровня собираемости арендной платы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за 3 года или за весь период действия соответствующего вида дохода, если он не превышает 3 года.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данных: договоры аренды земельных участков, показатели бухгалтерского учета, нормативно-правовые акты (проекты нормативно-правовых актов).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4"/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(КБК 91511406024040000430), определяется методом прямого расчета и рассчитывается по следующей формуле:</w:t>
      </w:r>
    </w:p>
    <w:p w:rsidR="00BB23BB" w:rsidRPr="00BB23BB" w:rsidRDefault="0027599B" w:rsidP="00BB23B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7"/>
                  <w:szCs w:val="27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7"/>
                  <w:szCs w:val="27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7"/>
                  <w:szCs w:val="27"/>
                  <w:vertAlign w:val="subscript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7"/>
              <w:szCs w:val="27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7"/>
                  <w:szCs w:val="27"/>
                </w:rPr>
              </m:ctrlPr>
            </m:naryPr>
            <m:sub>
              <m:argPr>
                <m:argSz m:val="-1"/>
              </m:argP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4"/>
                  <w:lang w:eastAsia="ru-RU"/>
                </w:rPr>
                <m:t>i=1</m:t>
              </m:r>
            </m:sub>
            <m:sup>
              <m:argPr>
                <m:argSz m:val="-1"/>
              </m:argP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7"/>
                  <w:szCs w:val="27"/>
                  <w:lang w:val="en-US"/>
                </w:rPr>
                <m:t>k</m:t>
              </m:r>
            </m:sup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7"/>
                  <w:szCs w:val="27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7"/>
                  <w:szCs w:val="27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7"/>
                  <w:szCs w:val="27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7"/>
                  <w:szCs w:val="27"/>
                </w:rPr>
                <m:t>в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7"/>
                  <w:szCs w:val="27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7"/>
              <w:szCs w:val="27"/>
              <w:lang w:eastAsia="ru-RU"/>
            </w:rPr>
            <m:t>,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</w:rPr>
            <w:br/>
          </m:r>
        </m:oMath>
      </m:oMathPara>
      <w:r w:rsidR="00BB23BB"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>П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- прогноз доходов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земельных участков, находящихся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городских округов;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B23B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предполагаемых к продаже собственникам зданий, строений, сооружений;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B23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23BB">
        <w:rPr>
          <w:rFonts w:ascii="Times New Roman" w:eastAsia="Calibri" w:hAnsi="Times New Roman" w:cs="Times New Roman"/>
          <w:sz w:val="28"/>
          <w:szCs w:val="28"/>
        </w:rPr>
        <w:t>выкупная цена соответствующих земельных участков.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данных: земельные участки, планируемые к продаже.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доходов, получаемых в виде платы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</w:t>
      </w:r>
      <w:r w:rsidRPr="00BB23BB">
        <w:rPr>
          <w:rFonts w:ascii="Times New Roman" w:eastAsia="Calibri" w:hAnsi="Times New Roman" w:cs="Times New Roman"/>
          <w:sz w:val="28"/>
          <w:szCs w:val="28"/>
        </w:rPr>
        <w:br/>
        <w:t xml:space="preserve">в отношении земельных участков, находящихся в собственности городских </w:t>
      </w:r>
      <w:r w:rsidRPr="00BB23BB">
        <w:rPr>
          <w:rFonts w:ascii="Times New Roman" w:eastAsia="Calibri" w:hAnsi="Times New Roman" w:cs="Times New Roman"/>
          <w:sz w:val="28"/>
          <w:szCs w:val="28"/>
        </w:rPr>
        <w:br/>
        <w:t>округов (КБК 91511105324040000120),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методом прямого расчета с учетом динамики показателя собираемости в предшествующие периоды и рассчитывается по следующей формуле:</w:t>
      </w:r>
    </w:p>
    <w:p w:rsidR="00BB23BB" w:rsidRPr="00BB23BB" w:rsidRDefault="0027599B" w:rsidP="00BB23B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vertAlign w:val="subscript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0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naryPr>
                <m:sub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=1</m:t>
                  </m:r>
                </m:sub>
                <m:sup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св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  <w:lang w:val="en-US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</w:rPr>
                    <m:t>св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0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vertAlign w:val="subscript"/>
                    </w:rPr>
                    <m:t>св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0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0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  <w:lang w:val="en-US"/>
            </w:rPr>
            <m:t>,</m:t>
          </m:r>
        </m:oMath>
      </m:oMathPara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BB">
        <w:rPr>
          <w:rFonts w:ascii="Times New Roman" w:eastAsia="Calibri" w:hAnsi="Times New Roman" w:cs="Times New Roman"/>
          <w:sz w:val="28"/>
          <w:szCs w:val="28"/>
        </w:rPr>
        <w:t>С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пл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доходов, получаемых в виде платы </w:t>
      </w:r>
      <w:r w:rsidRPr="00BB23BB">
        <w:rPr>
          <w:rFonts w:ascii="Times New Roman" w:eastAsia="Calibri" w:hAnsi="Times New Roman" w:cs="Times New Roman"/>
          <w:sz w:val="28"/>
          <w:szCs w:val="28"/>
        </w:rPr>
        <w:t>по соглашениям об установлении сервитута;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BB23B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заключенных соглашений об установлении сервитута;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3BB">
        <w:rPr>
          <w:rFonts w:ascii="Times New Roman" w:eastAsia="Calibri" w:hAnsi="Times New Roman" w:cs="Times New Roman"/>
          <w:sz w:val="28"/>
          <w:szCs w:val="28"/>
        </w:rPr>
        <w:t>Н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св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</w:t>
      </w:r>
      <w:r w:rsidRPr="00BB23BB">
        <w:rPr>
          <w:rFonts w:ascii="Times New Roman" w:eastAsia="Calibri" w:hAnsi="Times New Roman" w:cs="Times New Roman"/>
          <w:sz w:val="28"/>
          <w:szCs w:val="28"/>
        </w:rPr>
        <w:t>по соглашениям об установлении сервитута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изменения коэффициентов, а так же размера кадастровой стоимости земельных участков и иных факторов, оказывающих влияние на размер начислений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соглашениям об установлении сервитута;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BB">
        <w:rPr>
          <w:rFonts w:ascii="Times New Roman" w:eastAsia="Calibri" w:hAnsi="Times New Roman" w:cs="Times New Roman"/>
          <w:sz w:val="28"/>
          <w:szCs w:val="28"/>
        </w:rPr>
        <w:t>С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–</w:t>
      </w:r>
      <w:proofErr w:type="spellStart"/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св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сумма снижения поступлений по соглашениям об установлении сервитутов в связи с окончанием срока действия соглашения;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BB">
        <w:rPr>
          <w:rFonts w:ascii="Times New Roman" w:eastAsia="Calibri" w:hAnsi="Times New Roman" w:cs="Times New Roman"/>
          <w:sz w:val="28"/>
          <w:szCs w:val="28"/>
        </w:rPr>
        <w:t>С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>+св</w:t>
      </w:r>
      <w:proofErr w:type="spell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 сумма увеличения поступлений в связи с планируемым заключением соглашений об установлении сервитута;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23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BB23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End"/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уровня собираемости </w:t>
      </w:r>
      <w:r w:rsidRPr="00BB23BB">
        <w:rPr>
          <w:rFonts w:ascii="Times New Roman" w:eastAsia="Calibri" w:hAnsi="Times New Roman" w:cs="Times New Roman"/>
          <w:sz w:val="28"/>
          <w:szCs w:val="28"/>
        </w:rPr>
        <w:t>по соглашениям об установлении сервитута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3BB">
        <w:rPr>
          <w:rFonts w:ascii="Times New Roman" w:eastAsia="Calibri" w:hAnsi="Times New Roman" w:cs="Times New Roman"/>
          <w:sz w:val="28"/>
          <w:szCs w:val="28"/>
        </w:rPr>
        <w:t>за 3 года или за весь период действия соответствующего вида дохода, если он не превышает 3 года.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данных: </w:t>
      </w:r>
      <w:r w:rsidRPr="00BB23BB">
        <w:rPr>
          <w:rFonts w:ascii="Times New Roman" w:eastAsia="Calibri" w:hAnsi="Times New Roman" w:cs="Times New Roman"/>
          <w:sz w:val="28"/>
          <w:szCs w:val="28"/>
        </w:rPr>
        <w:t>соглашения об установлении сервитутов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показатели бухгалтерского учета, нормативно-правовые акты (проекты нормативно-правовых актов).</w:t>
      </w:r>
    </w:p>
    <w:bookmarkEnd w:id="1"/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Прогноз поступлений доходов, не имеющих системного характера поступлений, определяется методом усреднения и рассчитывается по следующей формуле: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7"/>
              <w:szCs w:val="27"/>
              <w:lang w:eastAsia="ru-RU"/>
            </w:rPr>
            <m:t>Д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7"/>
              <w:szCs w:val="27"/>
              <w:lang w:eastAsia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sz w:val="27"/>
                  <w:szCs w:val="27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eastAsia="Times New Roman" w:hAnsi="Cambria Math" w:cs="Times New Roman"/>
                      <w:sz w:val="27"/>
                      <w:szCs w:val="27"/>
                      <w:lang w:eastAsia="ru-RU"/>
                    </w:rPr>
                  </m:ctrlPr>
                </m:naryPr>
                <m:sub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7"/>
                      <w:szCs w:val="27"/>
                      <w:lang w:eastAsia="ru-RU"/>
                    </w:rPr>
                    <m:t>i=1</m:t>
                  </m:r>
                </m:sub>
                <m:sup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7"/>
                      <w:szCs w:val="27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7"/>
                          <w:szCs w:val="27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7"/>
                          <w:szCs w:val="27"/>
                          <w:lang w:eastAsia="ru-RU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7"/>
                          <w:szCs w:val="27"/>
                          <w:lang w:eastAsia="ru-RU"/>
                        </w:rPr>
                        <m:t>факт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7"/>
                  <w:szCs w:val="27"/>
                  <w:lang w:eastAsia="ru-RU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7"/>
              <w:szCs w:val="27"/>
              <w:lang w:eastAsia="ru-RU"/>
            </w:rPr>
            <m:t>,</m:t>
          </m:r>
        </m:oMath>
      </m:oMathPara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 - прогнозируемая сумма доходов, не имеющих системного характера поступлений;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23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доходы, фактически </w:t>
      </w:r>
      <w:proofErr w:type="gramStart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 в</w:t>
      </w:r>
      <w:proofErr w:type="gramEnd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прогнозируемому периоды;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gramStart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отчетных периодов (не менее 3-х лет, предшествующих прогнозируемому периоду</w:t>
      </w:r>
      <w:r w:rsidRPr="00BB23BB">
        <w:rPr>
          <w:rFonts w:ascii="Times New Roman" w:eastAsia="Calibri" w:hAnsi="Times New Roman" w:cs="Times New Roman"/>
          <w:sz w:val="28"/>
          <w:szCs w:val="28"/>
        </w:rPr>
        <w:t xml:space="preserve"> или за весь период действия соответствующего вида дохода, если он не превышает 3 года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земельным ресурсам и землеустройству города Барнаула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планировании поступлений по данным доходам учитывает риски, связанные с разовым характером поступлений с правом не осуществлять прогнозирование.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платежа, который в отчетном году составлял более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10% фактического объема поступлений, допускается корректировка показателя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23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BB23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уменьшения на соответствующую величину.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данных: показатели бухгалтерского учета.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доходам, поступление которых не имеет системного характера, относятся:</w:t>
      </w:r>
    </w:p>
    <w:p w:rsidR="00BB23BB" w:rsidRPr="00BB23BB" w:rsidRDefault="00BB23BB" w:rsidP="00BB23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земельных участков, государственная собственность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которые не разграничена и которые расположены в границах городских округов (КБК 91511406012040000430);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которые не разграничена и которые расположены в границах городских округов (КБК 91511105312040000120);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доходы от компенсации затрат бюджетов городских округов (возврат дебиторской задолженности прошлых лет в части Фонда социального страхования) (КБК 915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11302994040011130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доходы от компенсации затрат бюджетов городских округов (иные возвраты и возмещения)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(КБК 915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11302994040015130)</w:t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земельных участков, находящихся в собственности городских округов (КБК 91511406324040000430);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прочие поступления от денежных взысканий (штрафов) и иных сумм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возмещение ущерба, зачисляемые в бюджеты городских округов (КБК 915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11690040040000140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округов (КБК 915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11633040040000140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невыясненные поступления, зачисляемые в бюджеты городских округов (КБК 915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11701040040000180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неналоговые доходы бюджетов городских округов (суммы неосновательного обогащения, полученные в результате использования земельных участков) (КБК 91511705040040080180);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неналоговые доходы бюджетов городских округов (поступления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договорам о развитии застроенной территории) (КБК 915</w:t>
      </w:r>
      <w:r w:rsidRPr="00BB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11705040040100180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Прогнозирование доходов осуществляется в тысячах рублей. Расчеты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доходам в размере одна тысяча рублей и менее в прогноз поступлений доходов </w:t>
      </w: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города Барнаула не включаются.</w:t>
      </w:r>
    </w:p>
    <w:p w:rsidR="00BB23BB" w:rsidRPr="00BB23BB" w:rsidRDefault="00BB23BB" w:rsidP="00BB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процессе исполнения бюджета города Барнаула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BB23BB" w:rsidRPr="00BB23BB" w:rsidRDefault="00BB23BB" w:rsidP="00BB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BB" w:rsidRPr="00BB23BB" w:rsidRDefault="00BB23BB" w:rsidP="00BB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BB" w:rsidRPr="00BB23BB" w:rsidRDefault="00BB23BB" w:rsidP="00BB23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</w:t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23B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</w:t>
      </w:r>
      <w:proofErr w:type="spellStart"/>
      <w:r w:rsidRPr="00BB23BB">
        <w:rPr>
          <w:rFonts w:ascii="Times New Roman" w:eastAsia="Times New Roman" w:hAnsi="Times New Roman" w:cs="Times New Roman"/>
          <w:sz w:val="28"/>
          <w:szCs w:val="20"/>
          <w:lang w:eastAsia="ru-RU"/>
        </w:rPr>
        <w:t>Д.В.Русанов</w:t>
      </w:r>
      <w:proofErr w:type="spellEnd"/>
    </w:p>
    <w:p w:rsidR="00BB23BB" w:rsidRPr="00BB23BB" w:rsidRDefault="00BB23BB" w:rsidP="00BB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136F" w:rsidRPr="00AD7784" w:rsidRDefault="003B136F" w:rsidP="003B136F">
      <w:pPr>
        <w:jc w:val="both"/>
        <w:rPr>
          <w:rFonts w:ascii="Times New Roman" w:hAnsi="Times New Roman" w:cs="Times New Roman"/>
          <w:snapToGrid w:val="0"/>
          <w:color w:val="000000"/>
        </w:rPr>
      </w:pPr>
    </w:p>
    <w:p w:rsidR="00CF6DDC" w:rsidRDefault="00CF6DDC" w:rsidP="00E014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642A" w:rsidRDefault="003C642A" w:rsidP="00E014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642A" w:rsidRDefault="003C642A" w:rsidP="00CF6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642A" w:rsidRDefault="003C642A" w:rsidP="00CF6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47C8" w:rsidRDefault="00A747C8" w:rsidP="00CF6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3486" w:rsidRDefault="00923486" w:rsidP="00CF6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3486" w:rsidRDefault="00923486" w:rsidP="00CF6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3486" w:rsidRDefault="00923486" w:rsidP="00CF6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23486" w:rsidSect="00F94B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C383B"/>
    <w:multiLevelType w:val="hybridMultilevel"/>
    <w:tmpl w:val="9440DBD2"/>
    <w:lvl w:ilvl="0" w:tplc="1E44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4EEE"/>
    <w:rsid w:val="00032552"/>
    <w:rsid w:val="000B257A"/>
    <w:rsid w:val="00104CB9"/>
    <w:rsid w:val="001376A3"/>
    <w:rsid w:val="00197606"/>
    <w:rsid w:val="0024522D"/>
    <w:rsid w:val="0027599B"/>
    <w:rsid w:val="002B51D7"/>
    <w:rsid w:val="002D30C9"/>
    <w:rsid w:val="003719AE"/>
    <w:rsid w:val="00383EA7"/>
    <w:rsid w:val="003B136F"/>
    <w:rsid w:val="003C642A"/>
    <w:rsid w:val="003F049D"/>
    <w:rsid w:val="004343BD"/>
    <w:rsid w:val="00434ECB"/>
    <w:rsid w:val="004768EC"/>
    <w:rsid w:val="00483C0C"/>
    <w:rsid w:val="004D1E6B"/>
    <w:rsid w:val="00593735"/>
    <w:rsid w:val="005B170B"/>
    <w:rsid w:val="005C554C"/>
    <w:rsid w:val="005D62F6"/>
    <w:rsid w:val="006846B0"/>
    <w:rsid w:val="006D4114"/>
    <w:rsid w:val="006E0BF9"/>
    <w:rsid w:val="00764F93"/>
    <w:rsid w:val="007C21DA"/>
    <w:rsid w:val="007F2C68"/>
    <w:rsid w:val="00804F38"/>
    <w:rsid w:val="00822BDC"/>
    <w:rsid w:val="00837A28"/>
    <w:rsid w:val="008C0FC6"/>
    <w:rsid w:val="008E1D42"/>
    <w:rsid w:val="00923486"/>
    <w:rsid w:val="00966C6C"/>
    <w:rsid w:val="00972C5C"/>
    <w:rsid w:val="009C7014"/>
    <w:rsid w:val="009D11A4"/>
    <w:rsid w:val="00A208CD"/>
    <w:rsid w:val="00A4355E"/>
    <w:rsid w:val="00A747C8"/>
    <w:rsid w:val="00AA6766"/>
    <w:rsid w:val="00B02A51"/>
    <w:rsid w:val="00BB23BB"/>
    <w:rsid w:val="00BD70F4"/>
    <w:rsid w:val="00C022FC"/>
    <w:rsid w:val="00CC65BF"/>
    <w:rsid w:val="00CF6DDC"/>
    <w:rsid w:val="00CF74DC"/>
    <w:rsid w:val="00D507B2"/>
    <w:rsid w:val="00D52C1C"/>
    <w:rsid w:val="00D70CF3"/>
    <w:rsid w:val="00DB6B7D"/>
    <w:rsid w:val="00DD45B0"/>
    <w:rsid w:val="00E0149B"/>
    <w:rsid w:val="00E516EE"/>
    <w:rsid w:val="00E54018"/>
    <w:rsid w:val="00E7372B"/>
    <w:rsid w:val="00E8581F"/>
    <w:rsid w:val="00E94EEE"/>
    <w:rsid w:val="00EC1C3B"/>
    <w:rsid w:val="00EE7978"/>
    <w:rsid w:val="00F53A95"/>
    <w:rsid w:val="00F94B0E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4EB8B-1AE6-4A6E-9FCE-8AE2600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4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507B2"/>
    <w:rPr>
      <w:strike w:val="0"/>
      <w:dstrike w:val="0"/>
      <w:color w:val="1B6DF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my\AppData\Local\Microsoft\Windows\Temporary%20Internet%20Files\Content.Outlook\8PSS81XB\&#1055;&#1088;&#1080;&#1083;&#1086;&#1078;&#1077;&#1085;&#1080;&#1103;%20&#1082;%20&#1087;&#1088;&#1080;&#1082;&#1072;&#1079;&#1091;%20&#1086;&#1073;%20&#1091;&#1090;&#1074;&#1077;&#1088;&#1078;&#1076;&#1077;&#1085;&#1080;&#1080;%20&#1084;&#1077;&#1090;&#1086;&#1076;&#1080;&#1082;&#1080;%20&#1087;&#1088;&#1086;&#1075;&#1085;&#1086;&#1079;&#1080;&#1088;&#1086;&#1074;&#1072;&#1085;&#1080;&#1103;%202016%20&#1075;&#1086;&#107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В. Потанина</cp:lastModifiedBy>
  <cp:revision>2</cp:revision>
  <cp:lastPrinted>2017-06-05T06:53:00Z</cp:lastPrinted>
  <dcterms:created xsi:type="dcterms:W3CDTF">2017-07-14T06:33:00Z</dcterms:created>
  <dcterms:modified xsi:type="dcterms:W3CDTF">2017-07-14T06:33:00Z</dcterms:modified>
</cp:coreProperties>
</file>